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A469" w14:textId="09F8D1B2" w:rsidR="002619C3" w:rsidRDefault="002619C3" w:rsidP="00D8125F">
      <w:pPr>
        <w:jc w:val="both"/>
      </w:pPr>
      <w:r w:rsidRPr="002619C3">
        <w:rPr>
          <w:noProof/>
          <w:lang w:eastAsia="en-GB"/>
        </w:rPr>
        <w:drawing>
          <wp:inline distT="0" distB="0" distL="0" distR="0" wp14:anchorId="087D9321" wp14:editId="765632E3">
            <wp:extent cx="1353600" cy="327600"/>
            <wp:effectExtent l="0" t="0" r="0" b="0"/>
            <wp:docPr id="1" name="Picture 1" descr="C:\Users\monika\AppData\Local\Microsoft\Windows\INetCache\Content.Outlook\E78R81ZX\HELCOM with text_Crop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Microsoft\Windows\INetCache\Content.Outlook\E78R81ZX\HELCOM with text_CropBorde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600" cy="327600"/>
                    </a:xfrm>
                    <a:prstGeom prst="rect">
                      <a:avLst/>
                    </a:prstGeom>
                    <a:noFill/>
                    <a:ln>
                      <a:noFill/>
                    </a:ln>
                  </pic:spPr>
                </pic:pic>
              </a:graphicData>
            </a:graphic>
          </wp:inline>
        </w:drawing>
      </w:r>
    </w:p>
    <w:p w14:paraId="7FFA34B2" w14:textId="77777777" w:rsidR="002619C3" w:rsidRDefault="002619C3" w:rsidP="00D8125F">
      <w:pPr>
        <w:jc w:val="both"/>
      </w:pPr>
    </w:p>
    <w:p w14:paraId="22D3579C" w14:textId="7BDE8A89" w:rsidR="008B0892" w:rsidRPr="00F863A6" w:rsidRDefault="00C46D15" w:rsidP="00D8125F">
      <w:pPr>
        <w:jc w:val="both"/>
      </w:pPr>
      <w:r w:rsidRPr="00F863A6">
        <w:t xml:space="preserve">Mr President, Ministers, </w:t>
      </w:r>
      <w:r w:rsidR="00826C6A" w:rsidRPr="00F863A6">
        <w:t xml:space="preserve">Your </w:t>
      </w:r>
      <w:r w:rsidR="00F3309D">
        <w:t>Excellences</w:t>
      </w:r>
      <w:r w:rsidR="00826C6A" w:rsidRPr="00F863A6">
        <w:t>, Distinguished Guests</w:t>
      </w:r>
      <w:r w:rsidR="00210A35" w:rsidRPr="00F863A6">
        <w:t>,</w:t>
      </w:r>
    </w:p>
    <w:p w14:paraId="54147B13" w14:textId="367F3FCF" w:rsidR="00210A35" w:rsidRPr="00F863A6" w:rsidRDefault="00210A35" w:rsidP="00D8125F">
      <w:pPr>
        <w:jc w:val="both"/>
      </w:pPr>
      <w:r w:rsidRPr="00F863A6">
        <w:t xml:space="preserve">I would like to congratulate </w:t>
      </w:r>
      <w:r w:rsidR="00F863A6">
        <w:t xml:space="preserve">the </w:t>
      </w:r>
      <w:r w:rsidRPr="00F863A6">
        <w:t>Baltic Sea Parliamentary Conference for the 25</w:t>
      </w:r>
      <w:r w:rsidRPr="00F863A6">
        <w:rPr>
          <w:vertAlign w:val="superscript"/>
        </w:rPr>
        <w:t>th</w:t>
      </w:r>
      <w:r w:rsidRPr="00F863A6">
        <w:t xml:space="preserve"> anniversary and thank</w:t>
      </w:r>
      <w:r w:rsidR="001B512C">
        <w:t xml:space="preserve"> </w:t>
      </w:r>
      <w:r w:rsidR="005807FE">
        <w:t>you</w:t>
      </w:r>
      <w:r w:rsidRPr="00F863A6">
        <w:t xml:space="preserve"> for all the efforts and remarkable achievements during these last two and half decades in bringing all nations around the Baltic Sea together</w:t>
      </w:r>
      <w:r w:rsidR="00C46D15" w:rsidRPr="00F863A6">
        <w:t xml:space="preserve"> to </w:t>
      </w:r>
      <w:r w:rsidR="005807FE">
        <w:t xml:space="preserve">promote </w:t>
      </w:r>
      <w:r w:rsidR="005807FE" w:rsidRPr="005807FE">
        <w:t xml:space="preserve">sustainable development of </w:t>
      </w:r>
      <w:r w:rsidR="005807FE">
        <w:t>our r</w:t>
      </w:r>
      <w:r w:rsidR="005807FE" w:rsidRPr="005807FE">
        <w:t xml:space="preserve">egion. </w:t>
      </w:r>
    </w:p>
    <w:p w14:paraId="0834177D" w14:textId="3F69FEED" w:rsidR="00C46D15" w:rsidRPr="00F863A6" w:rsidRDefault="007B6CA7" w:rsidP="00D8125F">
      <w:pPr>
        <w:jc w:val="both"/>
      </w:pPr>
      <w:r>
        <w:t>The BSPC has</w:t>
      </w:r>
      <w:r w:rsidR="00C46D15" w:rsidRPr="00F863A6">
        <w:t xml:space="preserve"> been very supportive of </w:t>
      </w:r>
      <w:r w:rsidR="005807FE">
        <w:t xml:space="preserve">the </w:t>
      </w:r>
      <w:r w:rsidR="00C46D15" w:rsidRPr="00F863A6">
        <w:t>HELCOM work for the Baltic Sea marine environment</w:t>
      </w:r>
      <w:r w:rsidR="001C33E7" w:rsidRPr="00F863A6">
        <w:t xml:space="preserve">, for which I am </w:t>
      </w:r>
      <w:r w:rsidR="00B816F0" w:rsidRPr="00F863A6">
        <w:t xml:space="preserve">very </w:t>
      </w:r>
      <w:r w:rsidR="001C33E7" w:rsidRPr="00F863A6">
        <w:t>grateful</w:t>
      </w:r>
      <w:r w:rsidR="00C46D15" w:rsidRPr="00F863A6">
        <w:t xml:space="preserve">. Healthy marine ecosystems are needed to ensure </w:t>
      </w:r>
      <w:r w:rsidR="005807FE">
        <w:t xml:space="preserve">a </w:t>
      </w:r>
      <w:r w:rsidR="00C46D15" w:rsidRPr="00F863A6">
        <w:t>thriving maritime economy and</w:t>
      </w:r>
      <w:r w:rsidR="005807FE">
        <w:t xml:space="preserve"> the</w:t>
      </w:r>
      <w:r w:rsidR="00C46D15" w:rsidRPr="00F863A6">
        <w:t xml:space="preserve"> wellbeing of people</w:t>
      </w:r>
      <w:r w:rsidR="00863BAA" w:rsidRPr="00F863A6">
        <w:t xml:space="preserve">. </w:t>
      </w:r>
      <w:r w:rsidR="00CD06EB">
        <w:t>A healthy sea is v</w:t>
      </w:r>
      <w:r w:rsidR="006A0AF0">
        <w:t>ery</w:t>
      </w:r>
      <w:r w:rsidR="005807FE">
        <w:t xml:space="preserve"> important for the future</w:t>
      </w:r>
      <w:r w:rsidR="006A0AF0">
        <w:t>: so that</w:t>
      </w:r>
      <w:r w:rsidR="00C46D15" w:rsidRPr="00F863A6">
        <w:t xml:space="preserve"> people can </w:t>
      </w:r>
      <w:r w:rsidR="006A0AF0">
        <w:t>eat</w:t>
      </w:r>
      <w:r w:rsidR="00C46D15" w:rsidRPr="00F863A6">
        <w:t xml:space="preserve"> fish from this region, such as cod and salmon</w:t>
      </w:r>
      <w:r w:rsidR="00365770">
        <w:t>,</w:t>
      </w:r>
      <w:r w:rsidR="00C46D15" w:rsidRPr="00F863A6">
        <w:t xml:space="preserve"> without concern about their health</w:t>
      </w:r>
      <w:r w:rsidR="006A0AF0">
        <w:t xml:space="preserve"> and</w:t>
      </w:r>
      <w:r w:rsidR="00C46D15" w:rsidRPr="00F863A6">
        <w:t xml:space="preserve"> can swim in the sea waters</w:t>
      </w:r>
      <w:r w:rsidR="006A0AF0">
        <w:t xml:space="preserve">. We must </w:t>
      </w:r>
      <w:r w:rsidR="003F6F29">
        <w:t xml:space="preserve">also </w:t>
      </w:r>
      <w:r w:rsidR="006A0AF0">
        <w:t>ensure that</w:t>
      </w:r>
      <w:r w:rsidR="00C46D15" w:rsidRPr="00F863A6">
        <w:t xml:space="preserve"> tourists keep coming back to the Baltic Sea shores, and</w:t>
      </w:r>
      <w:r w:rsidR="003F6F29">
        <w:t xml:space="preserve"> that</w:t>
      </w:r>
      <w:r w:rsidR="00C46D15" w:rsidRPr="00F863A6">
        <w:t xml:space="preserve"> there is enough sea space for new activities</w:t>
      </w:r>
      <w:r w:rsidR="001C33E7" w:rsidRPr="00F863A6">
        <w:t xml:space="preserve"> that we might not even</w:t>
      </w:r>
      <w:r w:rsidR="003F6F29">
        <w:t xml:space="preserve"> be able to imagine today</w:t>
      </w:r>
      <w:r w:rsidR="00C46D15" w:rsidRPr="00F863A6">
        <w:t xml:space="preserve">. </w:t>
      </w:r>
    </w:p>
    <w:p w14:paraId="2E6966B2" w14:textId="1E886F58" w:rsidR="00210A35" w:rsidRPr="00F863A6" w:rsidRDefault="001C33E7" w:rsidP="00D8125F">
      <w:pPr>
        <w:jc w:val="both"/>
      </w:pPr>
      <w:r w:rsidRPr="00F863A6">
        <w:t xml:space="preserve">The focus of our </w:t>
      </w:r>
      <w:r w:rsidR="00863BAA" w:rsidRPr="00F863A6">
        <w:t xml:space="preserve">HELCOM </w:t>
      </w:r>
      <w:r w:rsidRPr="00F863A6">
        <w:t xml:space="preserve">work </w:t>
      </w:r>
      <w:r w:rsidR="00863BAA" w:rsidRPr="00F863A6">
        <w:t xml:space="preserve">is to achieve this goal. </w:t>
      </w:r>
      <w:r w:rsidR="003F6F29">
        <w:t xml:space="preserve">The </w:t>
      </w:r>
      <w:r w:rsidRPr="00F863A6">
        <w:t xml:space="preserve">HELCOM Baltic Sea Action Plan from 2007 remains a major regional programme of actions for our Contracting Parties – governments of the nine coastal Baltic Sea states and </w:t>
      </w:r>
      <w:r w:rsidR="003F6F29">
        <w:t xml:space="preserve">the </w:t>
      </w:r>
      <w:r w:rsidRPr="00F863A6">
        <w:t>E</w:t>
      </w:r>
      <w:r w:rsidR="003F6F29">
        <w:t xml:space="preserve">uropean </w:t>
      </w:r>
      <w:r w:rsidRPr="00F863A6">
        <w:t>U</w:t>
      </w:r>
      <w:r w:rsidR="003F6F29">
        <w:t>nion</w:t>
      </w:r>
      <w:r w:rsidRPr="00F863A6">
        <w:t xml:space="preserve">, to implement. Our deadline for fulfilling the commitments is </w:t>
      </w:r>
      <w:r w:rsidR="003F6F29">
        <w:t xml:space="preserve">year </w:t>
      </w:r>
      <w:r w:rsidRPr="00F863A6">
        <w:t>2021</w:t>
      </w:r>
      <w:r w:rsidR="003F6F29">
        <w:t>,</w:t>
      </w:r>
      <w:r w:rsidR="00863BAA" w:rsidRPr="00F863A6">
        <w:t xml:space="preserve"> and </w:t>
      </w:r>
      <w:r w:rsidR="00CD06EB">
        <w:t xml:space="preserve">already </w:t>
      </w:r>
      <w:r w:rsidR="00863BAA" w:rsidRPr="00F863A6">
        <w:t xml:space="preserve">I </w:t>
      </w:r>
      <w:r w:rsidR="00CD06EB">
        <w:t>can</w:t>
      </w:r>
      <w:r w:rsidR="00863BAA" w:rsidRPr="00F863A6">
        <w:t xml:space="preserve"> report to you some concrete achievements, especially in reducing inputs of excessive nutrients – nitrogen and phosphorus - </w:t>
      </w:r>
      <w:r w:rsidR="003F6F29">
        <w:t xml:space="preserve">which are </w:t>
      </w:r>
      <w:r w:rsidR="00863BAA" w:rsidRPr="00F863A6">
        <w:t>responsible for eutrophication and algal blooms.</w:t>
      </w:r>
    </w:p>
    <w:p w14:paraId="707DA8E4" w14:textId="75D7E2E3" w:rsidR="005F00A3" w:rsidRPr="00F863A6" w:rsidRDefault="003F6F29" w:rsidP="00D8125F">
      <w:pPr>
        <w:jc w:val="both"/>
      </w:pPr>
      <w:r>
        <w:t xml:space="preserve">This year the </w:t>
      </w:r>
      <w:r w:rsidR="005F00A3" w:rsidRPr="00F863A6">
        <w:t xml:space="preserve">Baltic </w:t>
      </w:r>
      <w:r w:rsidR="00335630" w:rsidRPr="00F863A6">
        <w:t>S</w:t>
      </w:r>
      <w:r w:rsidR="005F00A3" w:rsidRPr="00F863A6">
        <w:t xml:space="preserve">ea coastal countries </w:t>
      </w:r>
      <w:r w:rsidR="00335630" w:rsidRPr="00F863A6">
        <w:t xml:space="preserve">agreed and </w:t>
      </w:r>
      <w:r w:rsidR="00365770">
        <w:t>submitted</w:t>
      </w:r>
      <w:r w:rsidR="005F00A3" w:rsidRPr="00F863A6">
        <w:t xml:space="preserve"> a proposal to the I</w:t>
      </w:r>
      <w:r w:rsidR="00335630" w:rsidRPr="00F863A6">
        <w:t xml:space="preserve">nternational </w:t>
      </w:r>
      <w:r w:rsidR="005F00A3" w:rsidRPr="00F863A6">
        <w:t>M</w:t>
      </w:r>
      <w:r w:rsidR="00335630" w:rsidRPr="00F863A6">
        <w:t xml:space="preserve">aritime </w:t>
      </w:r>
      <w:r w:rsidR="005F00A3" w:rsidRPr="00F863A6">
        <w:t>O</w:t>
      </w:r>
      <w:r w:rsidR="00335630" w:rsidRPr="00F863A6">
        <w:t>rganization</w:t>
      </w:r>
      <w:r w:rsidR="00863BAA" w:rsidRPr="00F863A6">
        <w:t>,</w:t>
      </w:r>
      <w:r w:rsidR="00335630" w:rsidRPr="00F863A6">
        <w:t xml:space="preserve"> IMO, </w:t>
      </w:r>
      <w:r w:rsidR="00863BAA" w:rsidRPr="00F863A6">
        <w:t xml:space="preserve">the global regulator of shipping, </w:t>
      </w:r>
      <w:r w:rsidR="005F00A3" w:rsidRPr="00F863A6">
        <w:t xml:space="preserve">to </w:t>
      </w:r>
      <w:r w:rsidR="005F00A3" w:rsidRPr="00F863A6">
        <w:rPr>
          <w:lang w:val="en-US"/>
        </w:rPr>
        <w:t>designate the Baltic Sea as a NOx Emission Control Area (NECA)</w:t>
      </w:r>
      <w:r w:rsidR="00D1140D">
        <w:rPr>
          <w:lang w:val="en-US"/>
        </w:rPr>
        <w:t xml:space="preserve">. NECA means a special area where the emission of nitrogen oxides is controlled </w:t>
      </w:r>
      <w:r w:rsidR="005F00A3" w:rsidRPr="00F863A6">
        <w:rPr>
          <w:lang w:val="en-US"/>
        </w:rPr>
        <w:t>according to the IMO MARPOL Convention Annex VI</w:t>
      </w:r>
      <w:r>
        <w:rPr>
          <w:lang w:val="en-US"/>
        </w:rPr>
        <w:t>. The proposal was made</w:t>
      </w:r>
      <w:r w:rsidR="005F00A3" w:rsidRPr="00F863A6">
        <w:rPr>
          <w:lang w:val="en-US"/>
        </w:rPr>
        <w:t xml:space="preserve"> in parallel with the North Sea</w:t>
      </w:r>
      <w:r>
        <w:rPr>
          <w:lang w:val="en-US"/>
        </w:rPr>
        <w:t xml:space="preserve"> countries</w:t>
      </w:r>
      <w:r w:rsidR="005F00A3" w:rsidRPr="00F863A6">
        <w:rPr>
          <w:lang w:val="en-US"/>
        </w:rPr>
        <w:t>.</w:t>
      </w:r>
      <w:r w:rsidRPr="003F6F29">
        <w:rPr>
          <w:lang w:val="en-US"/>
        </w:rPr>
        <w:t xml:space="preserve"> </w:t>
      </w:r>
    </w:p>
    <w:p w14:paraId="1E388977" w14:textId="1BCF92ED" w:rsidR="005F00A3" w:rsidRPr="00F863A6" w:rsidRDefault="003F6F29" w:rsidP="00D8125F">
      <w:pPr>
        <w:spacing w:after="0" w:line="276" w:lineRule="auto"/>
        <w:jc w:val="both"/>
        <w:rPr>
          <w:lang w:val="en-US"/>
        </w:rPr>
      </w:pPr>
      <w:r>
        <w:rPr>
          <w:lang w:val="en-US"/>
        </w:rPr>
        <w:t>T</w:t>
      </w:r>
      <w:r w:rsidR="00863BAA" w:rsidRPr="00F863A6">
        <w:rPr>
          <w:lang w:val="en-US"/>
        </w:rPr>
        <w:t>h</w:t>
      </w:r>
      <w:r w:rsidR="00D1140D">
        <w:rPr>
          <w:lang w:val="en-US"/>
        </w:rPr>
        <w:t>e</w:t>
      </w:r>
      <w:r w:rsidR="005F00A3" w:rsidRPr="00F863A6">
        <w:rPr>
          <w:lang w:val="en-US"/>
        </w:rPr>
        <w:t xml:space="preserve"> initiative for a Baltic Sea NECA </w:t>
      </w:r>
      <w:r w:rsidR="00863BAA" w:rsidRPr="00F863A6">
        <w:rPr>
          <w:lang w:val="en-US"/>
        </w:rPr>
        <w:t>was agreed</w:t>
      </w:r>
      <w:r>
        <w:rPr>
          <w:lang w:val="en-US"/>
        </w:rPr>
        <w:t xml:space="preserve"> upon in 2007. Since then</w:t>
      </w:r>
      <w:r w:rsidR="00863BAA" w:rsidRPr="00F863A6">
        <w:rPr>
          <w:lang w:val="en-US"/>
        </w:rPr>
        <w:t xml:space="preserve"> HELCOM </w:t>
      </w:r>
      <w:r w:rsidR="005F00A3" w:rsidRPr="00F863A6">
        <w:rPr>
          <w:lang w:val="en-US"/>
        </w:rPr>
        <w:t>ha</w:t>
      </w:r>
      <w:r>
        <w:rPr>
          <w:lang w:val="en-US"/>
        </w:rPr>
        <w:t>s</w:t>
      </w:r>
      <w:r w:rsidR="005F00A3" w:rsidRPr="00F863A6">
        <w:rPr>
          <w:lang w:val="en-US"/>
        </w:rPr>
        <w:t xml:space="preserve"> carried out the necessary environmental and economic studies</w:t>
      </w:r>
      <w:r w:rsidR="00335630" w:rsidRPr="00F863A6">
        <w:rPr>
          <w:lang w:val="en-US"/>
        </w:rPr>
        <w:t xml:space="preserve"> </w:t>
      </w:r>
      <w:r w:rsidR="00863BAA" w:rsidRPr="00F863A6">
        <w:rPr>
          <w:lang w:val="en-US"/>
        </w:rPr>
        <w:t>and</w:t>
      </w:r>
      <w:r w:rsidR="005F00A3" w:rsidRPr="00F863A6">
        <w:rPr>
          <w:lang w:val="en-US"/>
        </w:rPr>
        <w:t xml:space="preserve"> </w:t>
      </w:r>
      <w:r w:rsidR="00D1140D">
        <w:rPr>
          <w:lang w:val="en-US"/>
        </w:rPr>
        <w:t xml:space="preserve">conducted </w:t>
      </w:r>
      <w:r w:rsidR="005F00A3" w:rsidRPr="00F863A6">
        <w:rPr>
          <w:lang w:val="en-US"/>
        </w:rPr>
        <w:t xml:space="preserve">intensive negotiations on the right timing for a final submission to IMO. </w:t>
      </w:r>
      <w:r w:rsidR="007046C4" w:rsidRPr="00F863A6">
        <w:rPr>
          <w:lang w:val="en-US"/>
        </w:rPr>
        <w:t>W</w:t>
      </w:r>
      <w:r w:rsidR="00335630" w:rsidRPr="00F863A6">
        <w:rPr>
          <w:lang w:val="en-US"/>
        </w:rPr>
        <w:t>ith this measure there is</w:t>
      </w:r>
      <w:r w:rsidR="005F00A3" w:rsidRPr="00F863A6">
        <w:rPr>
          <w:lang w:val="en-US"/>
        </w:rPr>
        <w:t xml:space="preserve"> potential to cost-efficiently reduce around </w:t>
      </w:r>
      <w:bookmarkStart w:id="0" w:name="_GoBack"/>
      <w:r w:rsidR="005F00A3" w:rsidRPr="00F863A6">
        <w:rPr>
          <w:lang w:val="en-US"/>
        </w:rPr>
        <w:t>7</w:t>
      </w:r>
      <w:r w:rsidR="00F3309D">
        <w:rPr>
          <w:lang w:val="en-US"/>
        </w:rPr>
        <w:t>000</w:t>
      </w:r>
      <w:r w:rsidR="00335630" w:rsidRPr="00F863A6">
        <w:rPr>
          <w:lang w:val="en-US"/>
        </w:rPr>
        <w:t xml:space="preserve"> </w:t>
      </w:r>
      <w:bookmarkEnd w:id="0"/>
      <w:r w:rsidR="005F00A3" w:rsidRPr="00F863A6">
        <w:rPr>
          <w:lang w:val="en-US"/>
        </w:rPr>
        <w:t>Nitrogen input to the Baltic Sea per year</w:t>
      </w:r>
      <w:r w:rsidR="00F3309D">
        <w:rPr>
          <w:lang w:val="en-US"/>
        </w:rPr>
        <w:t>. There will be a time lag</w:t>
      </w:r>
      <w:r w:rsidR="005F00A3" w:rsidRPr="00F863A6">
        <w:rPr>
          <w:lang w:val="en-US"/>
        </w:rPr>
        <w:t xml:space="preserve"> for fleet renewal</w:t>
      </w:r>
      <w:r w:rsidR="00D1140D">
        <w:rPr>
          <w:lang w:val="en-US"/>
        </w:rPr>
        <w:t>,</w:t>
      </w:r>
      <w:r w:rsidR="005F00A3" w:rsidRPr="00F863A6">
        <w:rPr>
          <w:lang w:val="en-US"/>
        </w:rPr>
        <w:t xml:space="preserve"> as the regulation addresses only new ships. </w:t>
      </w:r>
      <w:r w:rsidR="00335630" w:rsidRPr="00F863A6">
        <w:rPr>
          <w:lang w:val="en-US"/>
        </w:rPr>
        <w:t>This</w:t>
      </w:r>
      <w:r w:rsidR="00D1140D">
        <w:rPr>
          <w:lang w:val="en-US"/>
        </w:rPr>
        <w:t xml:space="preserve"> reduction</w:t>
      </w:r>
      <w:r w:rsidR="00335630" w:rsidRPr="00F863A6">
        <w:rPr>
          <w:lang w:val="en-US"/>
        </w:rPr>
        <w:t xml:space="preserve"> is </w:t>
      </w:r>
      <w:r w:rsidR="005F00A3" w:rsidRPr="00F863A6">
        <w:rPr>
          <w:lang w:val="en-US"/>
        </w:rPr>
        <w:t>significant</w:t>
      </w:r>
      <w:r w:rsidR="00D1140D">
        <w:rPr>
          <w:lang w:val="en-US"/>
        </w:rPr>
        <w:t>:</w:t>
      </w:r>
      <w:r w:rsidR="00335630" w:rsidRPr="00F863A6">
        <w:rPr>
          <w:lang w:val="en-US"/>
        </w:rPr>
        <w:t xml:space="preserve"> f</w:t>
      </w:r>
      <w:r w:rsidR="005F00A3" w:rsidRPr="00F863A6">
        <w:rPr>
          <w:lang w:val="en-US"/>
        </w:rPr>
        <w:t xml:space="preserve">or several coastal countries </w:t>
      </w:r>
      <w:r w:rsidR="00D1140D">
        <w:rPr>
          <w:lang w:val="en-US"/>
        </w:rPr>
        <w:t xml:space="preserve">it </w:t>
      </w:r>
      <w:r w:rsidR="005F00A3" w:rsidRPr="00F863A6">
        <w:rPr>
          <w:lang w:val="en-US"/>
        </w:rPr>
        <w:t>exceed</w:t>
      </w:r>
      <w:r w:rsidR="00D1140D">
        <w:rPr>
          <w:lang w:val="en-US"/>
        </w:rPr>
        <w:t>s</w:t>
      </w:r>
      <w:r w:rsidR="005F00A3" w:rsidRPr="00F863A6">
        <w:rPr>
          <w:lang w:val="en-US"/>
        </w:rPr>
        <w:t xml:space="preserve"> their entire national Nitrogen pollution reduction commitment</w:t>
      </w:r>
      <w:r w:rsidR="00CD06EB">
        <w:rPr>
          <w:lang w:val="en-US"/>
        </w:rPr>
        <w:t xml:space="preserve"> </w:t>
      </w:r>
      <w:r w:rsidR="005F00A3" w:rsidRPr="00F863A6">
        <w:rPr>
          <w:lang w:val="en-US"/>
        </w:rPr>
        <w:t xml:space="preserve">according to the HELCOM </w:t>
      </w:r>
      <w:r w:rsidR="00335630" w:rsidRPr="00F863A6">
        <w:rPr>
          <w:lang w:val="en-US"/>
        </w:rPr>
        <w:t>requirements</w:t>
      </w:r>
      <w:r w:rsidR="00CD06EB">
        <w:rPr>
          <w:lang w:val="en-US"/>
        </w:rPr>
        <w:t>.</w:t>
      </w:r>
    </w:p>
    <w:p w14:paraId="7D962046" w14:textId="77777777" w:rsidR="007046C4" w:rsidRPr="00F863A6" w:rsidRDefault="007046C4" w:rsidP="00D8125F">
      <w:pPr>
        <w:spacing w:after="0" w:line="276" w:lineRule="auto"/>
        <w:jc w:val="both"/>
        <w:rPr>
          <w:lang w:val="en-US"/>
        </w:rPr>
      </w:pPr>
    </w:p>
    <w:p w14:paraId="0CA0BBBA" w14:textId="504502F5" w:rsidR="00B0506A" w:rsidRPr="00F863A6" w:rsidRDefault="00CD06EB" w:rsidP="00D8125F">
      <w:pPr>
        <w:tabs>
          <w:tab w:val="num" w:pos="720"/>
        </w:tabs>
        <w:jc w:val="both"/>
        <w:rPr>
          <w:lang w:val="en-US"/>
        </w:rPr>
      </w:pPr>
      <w:r>
        <w:rPr>
          <w:lang w:val="en-US"/>
        </w:rPr>
        <w:t>A</w:t>
      </w:r>
      <w:r w:rsidR="005F00A3" w:rsidRPr="00F863A6">
        <w:rPr>
          <w:lang w:val="en-US"/>
        </w:rPr>
        <w:t>nother milestone in curbing nutrient</w:t>
      </w:r>
      <w:r w:rsidR="00D1140D">
        <w:rPr>
          <w:lang w:val="en-US"/>
        </w:rPr>
        <w:t xml:space="preserve"> inputs</w:t>
      </w:r>
      <w:r w:rsidR="005F00A3" w:rsidRPr="00F863A6">
        <w:rPr>
          <w:lang w:val="en-US"/>
        </w:rPr>
        <w:t xml:space="preserve"> </w:t>
      </w:r>
      <w:r w:rsidR="00335630" w:rsidRPr="00F863A6">
        <w:rPr>
          <w:lang w:val="en-US"/>
        </w:rPr>
        <w:t>is</w:t>
      </w:r>
      <w:r w:rsidR="005F00A3" w:rsidRPr="00F863A6">
        <w:rPr>
          <w:lang w:val="en-US"/>
        </w:rPr>
        <w:t xml:space="preserve"> the ban to discharge untreated sewage from passenger ships</w:t>
      </w:r>
      <w:r w:rsidR="00863BAA" w:rsidRPr="00F863A6">
        <w:rPr>
          <w:lang w:val="en-US"/>
        </w:rPr>
        <w:t xml:space="preserve"> in the Baltic Sea</w:t>
      </w:r>
      <w:r w:rsidR="00D1140D">
        <w:rPr>
          <w:lang w:val="en-US"/>
        </w:rPr>
        <w:t xml:space="preserve">. </w:t>
      </w:r>
      <w:r w:rsidR="005F00A3" w:rsidRPr="00F863A6">
        <w:rPr>
          <w:lang w:val="en-US"/>
        </w:rPr>
        <w:t xml:space="preserve"> </w:t>
      </w:r>
      <w:r w:rsidR="00B0506A" w:rsidRPr="00F863A6">
        <w:rPr>
          <w:lang w:val="en-US"/>
        </w:rPr>
        <w:t>This year the Contracting Parties have finally fulfilled the formal conditions for the ban to be enforced</w:t>
      </w:r>
      <w:r w:rsidR="00D1140D">
        <w:rPr>
          <w:lang w:val="en-US"/>
        </w:rPr>
        <w:t>,</w:t>
      </w:r>
      <w:r w:rsidR="00B0506A" w:rsidRPr="00F863A6">
        <w:rPr>
          <w:lang w:val="en-US"/>
        </w:rPr>
        <w:t xml:space="preserve"> and </w:t>
      </w:r>
      <w:r w:rsidR="00D1140D">
        <w:rPr>
          <w:lang w:val="en-US"/>
        </w:rPr>
        <w:t xml:space="preserve">the </w:t>
      </w:r>
      <w:r w:rsidR="00B0506A" w:rsidRPr="00F863A6">
        <w:rPr>
          <w:lang w:val="en-US"/>
        </w:rPr>
        <w:t xml:space="preserve">new regulations will </w:t>
      </w:r>
      <w:r w:rsidR="00B0506A" w:rsidRPr="00F863A6">
        <w:rPr>
          <w:rFonts w:ascii="Calibri" w:hAnsi="Calibri" w:cs="Segoe UI"/>
        </w:rPr>
        <w:t>take effect by 2021</w:t>
      </w:r>
      <w:r w:rsidR="00D1140D">
        <w:rPr>
          <w:rFonts w:ascii="Calibri" w:hAnsi="Calibri" w:cs="Segoe UI"/>
        </w:rPr>
        <w:t xml:space="preserve"> at the latest</w:t>
      </w:r>
      <w:r w:rsidR="00B0506A" w:rsidRPr="00F863A6">
        <w:rPr>
          <w:rFonts w:ascii="Calibri" w:hAnsi="Calibri" w:cs="Segoe UI"/>
        </w:rPr>
        <w:t xml:space="preserve"> for </w:t>
      </w:r>
      <w:r w:rsidR="00863BAA" w:rsidRPr="00F863A6">
        <w:rPr>
          <w:rFonts w:ascii="Calibri" w:hAnsi="Calibri" w:cs="Segoe UI"/>
        </w:rPr>
        <w:t xml:space="preserve">most of </w:t>
      </w:r>
      <w:r w:rsidR="00B0506A" w:rsidRPr="00F863A6">
        <w:rPr>
          <w:rFonts w:ascii="Calibri" w:hAnsi="Calibri" w:cs="Segoe UI"/>
        </w:rPr>
        <w:t>IMO registered passenger vessels</w:t>
      </w:r>
      <w:r w:rsidR="00D1140D">
        <w:rPr>
          <w:rFonts w:ascii="Calibri" w:hAnsi="Calibri" w:cs="Segoe UI"/>
        </w:rPr>
        <w:t>.</w:t>
      </w:r>
      <w:r w:rsidR="00B0506A" w:rsidRPr="00F863A6">
        <w:rPr>
          <w:rFonts w:ascii="Calibri" w:hAnsi="Calibri" w:cs="Segoe UI"/>
        </w:rPr>
        <w:t xml:space="preserve"> (For new ships built on or later than 2019, these requirements will apply earlier</w:t>
      </w:r>
      <w:r w:rsidR="00863BAA" w:rsidRPr="00F863A6">
        <w:rPr>
          <w:rFonts w:ascii="Calibri" w:hAnsi="Calibri" w:cs="Segoe UI"/>
        </w:rPr>
        <w:t>, and i</w:t>
      </w:r>
      <w:r w:rsidR="00B0506A" w:rsidRPr="00F863A6">
        <w:rPr>
          <w:rFonts w:ascii="Calibri" w:hAnsi="Calibri" w:cs="Segoe UI"/>
        </w:rPr>
        <w:t>n certain cases of direct passages between St. Petersburg area and the North Sea there is a two-year extension to the deadline, until 2023</w:t>
      </w:r>
      <w:r w:rsidR="00863BAA" w:rsidRPr="00F863A6">
        <w:rPr>
          <w:rFonts w:ascii="Calibri" w:hAnsi="Calibri" w:cs="Segoe UI"/>
        </w:rPr>
        <w:t>)</w:t>
      </w:r>
      <w:r w:rsidR="00B0506A" w:rsidRPr="00F863A6">
        <w:rPr>
          <w:rFonts w:ascii="Calibri" w:hAnsi="Calibri" w:cs="Segoe UI"/>
        </w:rPr>
        <w:t xml:space="preserve">. </w:t>
      </w:r>
    </w:p>
    <w:p w14:paraId="24C8C2D5" w14:textId="20458FF5" w:rsidR="005F00A3" w:rsidRPr="00F863A6" w:rsidRDefault="005F00A3" w:rsidP="00D8125F">
      <w:pPr>
        <w:tabs>
          <w:tab w:val="num" w:pos="720"/>
        </w:tabs>
        <w:jc w:val="both"/>
        <w:rPr>
          <w:lang w:val="en-US"/>
        </w:rPr>
      </w:pPr>
      <w:r w:rsidRPr="00F863A6">
        <w:rPr>
          <w:lang w:val="en-US"/>
        </w:rPr>
        <w:t xml:space="preserve">We now have to </w:t>
      </w:r>
      <w:r w:rsidR="00B0506A" w:rsidRPr="00F863A6">
        <w:rPr>
          <w:lang w:val="en-US"/>
        </w:rPr>
        <w:t xml:space="preserve">make sure that all the necessary improvements to facilities in ports </w:t>
      </w:r>
      <w:r w:rsidR="00ED692B" w:rsidRPr="00ED692B">
        <w:rPr>
          <w:lang w:val="en-US"/>
        </w:rPr>
        <w:t xml:space="preserve">of the Baltic Sea </w:t>
      </w:r>
      <w:r w:rsidR="00863BAA" w:rsidRPr="00F863A6">
        <w:rPr>
          <w:lang w:val="en-US"/>
        </w:rPr>
        <w:t xml:space="preserve">to receive sewage </w:t>
      </w:r>
      <w:r w:rsidR="00B0506A" w:rsidRPr="00F863A6">
        <w:rPr>
          <w:lang w:val="en-US"/>
        </w:rPr>
        <w:t>are done.</w:t>
      </w:r>
      <w:r w:rsidR="00335630" w:rsidRPr="00F863A6">
        <w:rPr>
          <w:lang w:val="en-US"/>
        </w:rPr>
        <w:t xml:space="preserve"> </w:t>
      </w:r>
    </w:p>
    <w:p w14:paraId="6BAC265E" w14:textId="3F96A649" w:rsidR="00335630" w:rsidRPr="00F863A6" w:rsidRDefault="00335630" w:rsidP="00D8125F">
      <w:pPr>
        <w:spacing w:before="120" w:after="120"/>
        <w:jc w:val="both"/>
      </w:pPr>
      <w:r w:rsidRPr="00F863A6">
        <w:t xml:space="preserve">HELCOM cooperation with </w:t>
      </w:r>
      <w:r w:rsidR="00CD06EB">
        <w:t>IMO</w:t>
      </w:r>
      <w:r w:rsidRPr="00F863A6">
        <w:t xml:space="preserve"> and industry stakeholders on the establishment of </w:t>
      </w:r>
      <w:r w:rsidR="00C554AE" w:rsidRPr="00F863A6">
        <w:t xml:space="preserve">these </w:t>
      </w:r>
      <w:r w:rsidRPr="00F863A6">
        <w:t>special regime</w:t>
      </w:r>
      <w:r w:rsidR="00C554AE" w:rsidRPr="00F863A6">
        <w:t>s</w:t>
      </w:r>
      <w:r w:rsidRPr="00F863A6">
        <w:t xml:space="preserve"> for ships operating in the Baltic Sea is an example of successful regional cooperation across sectors to implement global regulations. </w:t>
      </w:r>
      <w:r w:rsidR="00863BAA" w:rsidRPr="00F863A6">
        <w:t>These n</w:t>
      </w:r>
      <w:r w:rsidRPr="00F863A6">
        <w:t xml:space="preserve">ew regulations </w:t>
      </w:r>
      <w:r w:rsidR="00C554AE" w:rsidRPr="00F863A6">
        <w:t>can also be expected to</w:t>
      </w:r>
      <w:r w:rsidRPr="00F863A6">
        <w:t xml:space="preserve"> boost competitiveness, </w:t>
      </w:r>
      <w:r w:rsidR="00CD06EB">
        <w:t xml:space="preserve">technological </w:t>
      </w:r>
      <w:r w:rsidRPr="00F863A6">
        <w:t xml:space="preserve">development and innovation. </w:t>
      </w:r>
    </w:p>
    <w:p w14:paraId="0D5D26D4" w14:textId="1810B336" w:rsidR="00C554AE" w:rsidRPr="00F863A6" w:rsidRDefault="00D8125F" w:rsidP="00D8125F">
      <w:pPr>
        <w:spacing w:before="120" w:after="120"/>
        <w:jc w:val="both"/>
      </w:pPr>
      <w:r w:rsidRPr="00F863A6">
        <w:lastRenderedPageBreak/>
        <w:t>C</w:t>
      </w:r>
      <w:r w:rsidR="007046C4" w:rsidRPr="00F863A6">
        <w:t xml:space="preserve">ooperation between sector ministries and industry </w:t>
      </w:r>
      <w:r w:rsidRPr="00F863A6">
        <w:t>has also be</w:t>
      </w:r>
      <w:r w:rsidR="00CD06EB">
        <w:t>en</w:t>
      </w:r>
      <w:r w:rsidRPr="00F863A6">
        <w:t xml:space="preserve"> crucial in developing</w:t>
      </w:r>
      <w:r w:rsidR="00CD06EB">
        <w:t xml:space="preserve"> the</w:t>
      </w:r>
      <w:r w:rsidRPr="00F863A6">
        <w:t xml:space="preserve"> </w:t>
      </w:r>
      <w:r w:rsidR="00C554AE" w:rsidRPr="00F863A6">
        <w:t xml:space="preserve">new HELCOM Recommendation on sustainable aquaculture in the Baltic Sea. </w:t>
      </w:r>
      <w:r w:rsidRPr="00F863A6">
        <w:t>The Recommendation is soft law</w:t>
      </w:r>
      <w:r w:rsidR="007B6CA7">
        <w:t>,</w:t>
      </w:r>
      <w:r w:rsidR="00365770">
        <w:t xml:space="preserve"> </w:t>
      </w:r>
      <w:r w:rsidRPr="00F863A6">
        <w:t xml:space="preserve">meaning that the governments </w:t>
      </w:r>
      <w:r w:rsidR="00CD06EB">
        <w:t>will</w:t>
      </w:r>
      <w:r w:rsidRPr="00F863A6">
        <w:t xml:space="preserve"> translate it </w:t>
      </w:r>
      <w:r w:rsidR="00CD06EB">
        <w:t>in</w:t>
      </w:r>
      <w:r w:rsidRPr="00F863A6">
        <w:t xml:space="preserve">to national law or otherwise ensure its implementation. </w:t>
      </w:r>
      <w:r w:rsidR="00C554AE" w:rsidRPr="00F863A6">
        <w:t xml:space="preserve">The Recommendation </w:t>
      </w:r>
      <w:r w:rsidR="007046C4" w:rsidRPr="00F863A6">
        <w:t>provides</w:t>
      </w:r>
      <w:r w:rsidR="00C554AE" w:rsidRPr="00F863A6">
        <w:t xml:space="preserve"> criteria for best practices for minimizing and preventing negative environmental impacts of aquaculture, including freshwater and marine fish farming. </w:t>
      </w:r>
    </w:p>
    <w:p w14:paraId="33BDA520" w14:textId="338BDFAD" w:rsidR="00C554AE" w:rsidRPr="00F863A6" w:rsidRDefault="00CD06EB" w:rsidP="00D8125F">
      <w:pPr>
        <w:spacing w:before="120" w:after="120"/>
        <w:jc w:val="both"/>
      </w:pPr>
      <w:r>
        <w:t>Almost all possible t</w:t>
      </w:r>
      <w:r w:rsidR="00C554AE" w:rsidRPr="00F863A6">
        <w:t xml:space="preserve">raditional solutions and straight-forward measures to protect the marine environment have been taken into use in the Baltic Sea. Further measures are more complex and require holistic thinking and innovative approaches, as well as greater involvement from sectors. Cost-efficiency and economic benefits derived from the </w:t>
      </w:r>
      <w:r>
        <w:t xml:space="preserve">protection of the </w:t>
      </w:r>
      <w:r w:rsidR="00C554AE" w:rsidRPr="00F863A6">
        <w:t xml:space="preserve">marine environment play an increasingly decisive role. </w:t>
      </w:r>
    </w:p>
    <w:p w14:paraId="1F1B8AC2" w14:textId="60659181" w:rsidR="007F144E" w:rsidRPr="00F863A6" w:rsidRDefault="007F144E" w:rsidP="00D8125F">
      <w:pPr>
        <w:jc w:val="both"/>
      </w:pPr>
      <w:r w:rsidRPr="00F863A6">
        <w:t>HELCOM has existed for over four decades</w:t>
      </w:r>
      <w:r w:rsidR="00597333" w:rsidRPr="00F863A6">
        <w:t>. With our</w:t>
      </w:r>
      <w:r w:rsidRPr="00F863A6">
        <w:t xml:space="preserve"> long history of cooperation</w:t>
      </w:r>
      <w:r w:rsidR="007102F9" w:rsidRPr="00F863A6">
        <w:t>,</w:t>
      </w:r>
      <w:r w:rsidRPr="00F863A6">
        <w:t xml:space="preserve"> it is </w:t>
      </w:r>
      <w:r w:rsidR="00597333" w:rsidRPr="00F863A6">
        <w:t>vital</w:t>
      </w:r>
      <w:r w:rsidRPr="00F863A6">
        <w:t xml:space="preserve"> t</w:t>
      </w:r>
      <w:r w:rsidR="00B5379A" w:rsidRPr="00F863A6">
        <w:t>hat we</w:t>
      </w:r>
      <w:r w:rsidRPr="00F863A6">
        <w:t xml:space="preserve"> follow up on the implementation of </w:t>
      </w:r>
      <w:r w:rsidR="00597333" w:rsidRPr="00F863A6">
        <w:t>our</w:t>
      </w:r>
      <w:r w:rsidRPr="00F863A6">
        <w:t xml:space="preserve"> commitments</w:t>
      </w:r>
      <w:r w:rsidR="00597333" w:rsidRPr="00F863A6">
        <w:t>. We must</w:t>
      </w:r>
      <w:r w:rsidR="00B5379A" w:rsidRPr="00F863A6">
        <w:t xml:space="preserve"> </w:t>
      </w:r>
      <w:r w:rsidRPr="00F863A6">
        <w:t xml:space="preserve">demonstrate </w:t>
      </w:r>
      <w:r w:rsidR="00C806E6" w:rsidRPr="00F863A6">
        <w:t>progress</w:t>
      </w:r>
      <w:r w:rsidR="00CD06EB">
        <w:t xml:space="preserve"> and</w:t>
      </w:r>
      <w:r w:rsidR="00365770">
        <w:t xml:space="preserve"> </w:t>
      </w:r>
      <w:r w:rsidR="00597333" w:rsidRPr="00F863A6">
        <w:t>the</w:t>
      </w:r>
      <w:r w:rsidR="00C806E6" w:rsidRPr="00F863A6">
        <w:t xml:space="preserve"> </w:t>
      </w:r>
      <w:r w:rsidRPr="00F863A6">
        <w:t xml:space="preserve">added value of </w:t>
      </w:r>
      <w:r w:rsidR="00597333" w:rsidRPr="00F863A6">
        <w:t>our</w:t>
      </w:r>
      <w:r w:rsidR="00B5379A" w:rsidRPr="00F863A6">
        <w:t xml:space="preserve"> </w:t>
      </w:r>
      <w:r w:rsidR="00C806E6" w:rsidRPr="00F863A6">
        <w:t>work</w:t>
      </w:r>
      <w:r w:rsidRPr="00F863A6">
        <w:t>.</w:t>
      </w:r>
    </w:p>
    <w:p w14:paraId="7EA6FB2B" w14:textId="01DBCC4D" w:rsidR="00C806E6" w:rsidRPr="00F863A6" w:rsidRDefault="007102F9" w:rsidP="00D8125F">
      <w:pPr>
        <w:jc w:val="both"/>
      </w:pPr>
      <w:r w:rsidRPr="00F863A6">
        <w:t xml:space="preserve">The </w:t>
      </w:r>
      <w:r w:rsidR="00D8125F" w:rsidRPr="00F863A6">
        <w:t xml:space="preserve">Contracting Parties </w:t>
      </w:r>
      <w:r w:rsidR="00C806E6" w:rsidRPr="00F863A6">
        <w:t>implement the Helsinki Convention</w:t>
      </w:r>
      <w:r w:rsidR="00776D08">
        <w:t>, which is</w:t>
      </w:r>
      <w:r w:rsidR="00A17CA4" w:rsidRPr="00F863A6">
        <w:t xml:space="preserve"> a legally binding regional treaty, as well as</w:t>
      </w:r>
      <w:r w:rsidR="00C806E6" w:rsidRPr="00F863A6">
        <w:t xml:space="preserve"> HELCOM Recommendations</w:t>
      </w:r>
      <w:r w:rsidR="00776D08">
        <w:t>, which can been seen as</w:t>
      </w:r>
      <w:r w:rsidR="00C806E6" w:rsidRPr="00F863A6">
        <w:t xml:space="preserve"> our executive orders</w:t>
      </w:r>
      <w:r w:rsidR="00597333" w:rsidRPr="00F863A6">
        <w:t>. The</w:t>
      </w:r>
      <w:r w:rsidR="00776D08">
        <w:t xml:space="preserve"> Contracting Parties</w:t>
      </w:r>
      <w:r w:rsidR="00597333" w:rsidRPr="00F863A6">
        <w:t xml:space="preserve"> also</w:t>
      </w:r>
      <w:r w:rsidR="00C806E6" w:rsidRPr="00F863A6">
        <w:t xml:space="preserve"> report on the progress</w:t>
      </w:r>
      <w:r w:rsidR="00076B28" w:rsidRPr="00F863A6">
        <w:t xml:space="preserve"> made</w:t>
      </w:r>
      <w:r w:rsidR="00C806E6" w:rsidRPr="00F863A6">
        <w:t xml:space="preserve">. </w:t>
      </w:r>
    </w:p>
    <w:p w14:paraId="7FE80CDD" w14:textId="0D7119A2" w:rsidR="00681EAD" w:rsidRPr="00F863A6" w:rsidRDefault="00597333" w:rsidP="00D8125F">
      <w:pPr>
        <w:jc w:val="both"/>
      </w:pPr>
      <w:r w:rsidRPr="00F863A6">
        <w:t>I</w:t>
      </w:r>
      <w:r w:rsidR="001E31FF" w:rsidRPr="00F863A6">
        <w:t>n addition</w:t>
      </w:r>
      <w:r w:rsidR="00A94F7E" w:rsidRPr="00F863A6">
        <w:t>, decision</w:t>
      </w:r>
      <w:r w:rsidRPr="00F863A6">
        <w:t>s</w:t>
      </w:r>
      <w:r w:rsidR="00A94F7E" w:rsidRPr="00F863A6">
        <w:t xml:space="preserve"> </w:t>
      </w:r>
      <w:r w:rsidR="00E249B5" w:rsidRPr="00F863A6">
        <w:t xml:space="preserve">made by the Ministerial Meetings are </w:t>
      </w:r>
      <w:r w:rsidRPr="00F863A6">
        <w:t xml:space="preserve">an </w:t>
      </w:r>
      <w:r w:rsidR="00E249B5" w:rsidRPr="00F863A6">
        <w:t xml:space="preserve">important part of </w:t>
      </w:r>
      <w:r w:rsidR="00776D08">
        <w:t xml:space="preserve">the </w:t>
      </w:r>
      <w:r w:rsidR="007B6CA7">
        <w:t>“</w:t>
      </w:r>
      <w:r w:rsidR="00B5379A" w:rsidRPr="00F863A6">
        <w:t>HELCOM acquis</w:t>
      </w:r>
      <w:r w:rsidR="007B6CA7">
        <w:t>”</w:t>
      </w:r>
      <w:r w:rsidR="00776D08">
        <w:t>. W</w:t>
      </w:r>
      <w:r w:rsidR="001E31FF" w:rsidRPr="00F863A6">
        <w:t xml:space="preserve">e </w:t>
      </w:r>
      <w:r w:rsidR="00C806E6" w:rsidRPr="00F863A6">
        <w:t xml:space="preserve">have evaluated </w:t>
      </w:r>
      <w:r w:rsidRPr="00F863A6">
        <w:t>to what extent</w:t>
      </w:r>
      <w:r w:rsidR="00C806E6" w:rsidRPr="00F863A6">
        <w:t xml:space="preserve"> the most recent Ministerial commitments</w:t>
      </w:r>
      <w:r w:rsidR="004D5E0D" w:rsidRPr="00F863A6">
        <w:t xml:space="preserve"> </w:t>
      </w:r>
      <w:r w:rsidR="00C806E6" w:rsidRPr="00F863A6">
        <w:t xml:space="preserve">have been </w:t>
      </w:r>
      <w:r w:rsidR="00776D08">
        <w:t>implemented</w:t>
      </w:r>
      <w:r w:rsidR="00C806E6" w:rsidRPr="00F863A6">
        <w:t xml:space="preserve">. The evaluation </w:t>
      </w:r>
      <w:r w:rsidR="00076B28" w:rsidRPr="00F863A6">
        <w:t xml:space="preserve">covers </w:t>
      </w:r>
      <w:r w:rsidR="00C806E6" w:rsidRPr="00F863A6">
        <w:t>the</w:t>
      </w:r>
      <w:r w:rsidR="00A347F2" w:rsidRPr="00F863A6">
        <w:t xml:space="preserve"> Baltic Sea Action Plan from 200</w:t>
      </w:r>
      <w:r w:rsidR="00C806E6" w:rsidRPr="00F863A6">
        <w:t>7</w:t>
      </w:r>
      <w:r w:rsidRPr="00F863A6">
        <w:t xml:space="preserve">, </w:t>
      </w:r>
      <w:r w:rsidR="00CD071A" w:rsidRPr="00F863A6">
        <w:t xml:space="preserve">adopted </w:t>
      </w:r>
      <w:r w:rsidRPr="00F863A6">
        <w:t>at the</w:t>
      </w:r>
      <w:r w:rsidR="00A347F2" w:rsidRPr="00F863A6">
        <w:t xml:space="preserve"> Krakow</w:t>
      </w:r>
      <w:r w:rsidR="00C806E6" w:rsidRPr="00F863A6">
        <w:t xml:space="preserve"> Ministerial Meeting</w:t>
      </w:r>
      <w:r w:rsidRPr="00F863A6">
        <w:t>, as well as t</w:t>
      </w:r>
      <w:r w:rsidR="00D8125F" w:rsidRPr="00F863A6">
        <w:t xml:space="preserve">wo follow-up Ministerial meetings. </w:t>
      </w:r>
      <w:r w:rsidR="00C806E6" w:rsidRPr="00F863A6">
        <w:t xml:space="preserve"> </w:t>
      </w:r>
    </w:p>
    <w:p w14:paraId="50B8E885" w14:textId="3A3910DB" w:rsidR="003E4B22" w:rsidRPr="00F863A6" w:rsidRDefault="003E4B22" w:rsidP="00D8125F">
      <w:pPr>
        <w:jc w:val="both"/>
      </w:pPr>
      <w:r w:rsidRPr="00F863A6">
        <w:t xml:space="preserve">Does HELCOM </w:t>
      </w:r>
      <w:r w:rsidR="00EC4B77" w:rsidRPr="00F863A6">
        <w:t xml:space="preserve">as a whole stick to its decisions? </w:t>
      </w:r>
    </w:p>
    <w:p w14:paraId="4FFC41E2" w14:textId="13275740" w:rsidR="00076B28" w:rsidRDefault="00A347F2" w:rsidP="00D8125F">
      <w:pPr>
        <w:jc w:val="both"/>
      </w:pPr>
      <w:r w:rsidRPr="00F863A6">
        <w:t xml:space="preserve">Here </w:t>
      </w:r>
      <w:r w:rsidR="007B6CA7">
        <w:t xml:space="preserve">In figure </w:t>
      </w:r>
      <w:r w:rsidRPr="00F863A6">
        <w:t xml:space="preserve">you can see how many </w:t>
      </w:r>
      <w:r w:rsidR="001A172C" w:rsidRPr="00F863A6">
        <w:t xml:space="preserve">joint </w:t>
      </w:r>
      <w:r w:rsidRPr="00F863A6">
        <w:t xml:space="preserve">actions </w:t>
      </w:r>
      <w:r w:rsidR="00A36564" w:rsidRPr="00F863A6">
        <w:t xml:space="preserve">agreed </w:t>
      </w:r>
      <w:r w:rsidR="00ED07F3" w:rsidRPr="00F863A6">
        <w:t>by</w:t>
      </w:r>
      <w:r w:rsidR="00A36564" w:rsidRPr="00F863A6">
        <w:t xml:space="preserve"> </w:t>
      </w:r>
      <w:r w:rsidR="00EC4B77" w:rsidRPr="00F863A6">
        <w:t>each of the</w:t>
      </w:r>
      <w:r w:rsidR="00A36564" w:rsidRPr="00F863A6">
        <w:t xml:space="preserve"> Ministerial Meetings </w:t>
      </w:r>
      <w:r w:rsidRPr="00F863A6">
        <w:t xml:space="preserve">have been accomplished, partly accomplished, or not </w:t>
      </w:r>
      <w:r w:rsidR="00EC4B77" w:rsidRPr="00F863A6">
        <w:t xml:space="preserve">at all </w:t>
      </w:r>
      <w:r w:rsidRPr="00F863A6">
        <w:t>accomplished</w:t>
      </w:r>
      <w:r w:rsidR="00EC4B77" w:rsidRPr="00F863A6">
        <w:t xml:space="preserve">. </w:t>
      </w:r>
    </w:p>
    <w:p w14:paraId="1BF2510D" w14:textId="121578A2" w:rsidR="00C269E8" w:rsidRPr="00F863A6" w:rsidRDefault="00C269E8" w:rsidP="00D8125F">
      <w:pPr>
        <w:jc w:val="both"/>
      </w:pPr>
      <w:r w:rsidRPr="00C269E8">
        <w:rPr>
          <w:noProof/>
          <w:lang w:eastAsia="en-GB"/>
        </w:rPr>
        <w:lastRenderedPageBreak/>
        <w:drawing>
          <wp:inline distT="0" distB="0" distL="0" distR="0" wp14:anchorId="5CC19386" wp14:editId="7ACA072D">
            <wp:extent cx="6188710" cy="4641850"/>
            <wp:effectExtent l="0" t="0" r="2540" b="6350"/>
            <wp:docPr id="3"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88710" cy="4641850"/>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pic:spPr>
                </pic:pic>
              </a:graphicData>
            </a:graphic>
          </wp:inline>
        </w:drawing>
      </w:r>
    </w:p>
    <w:p w14:paraId="1B7863B4" w14:textId="3CDE51AF" w:rsidR="00A347F2" w:rsidRPr="00F863A6" w:rsidRDefault="00EC4B77" w:rsidP="00D8125F">
      <w:pPr>
        <w:jc w:val="both"/>
      </w:pPr>
      <w:r w:rsidRPr="00F863A6">
        <w:t>Overall</w:t>
      </w:r>
      <w:r w:rsidR="00ED07F3" w:rsidRPr="00F863A6">
        <w:t>, 60</w:t>
      </w:r>
      <w:r w:rsidR="00A347F2" w:rsidRPr="00F863A6">
        <w:t xml:space="preserve">% of the </w:t>
      </w:r>
      <w:r w:rsidR="00776D08">
        <w:t xml:space="preserve">agreed </w:t>
      </w:r>
      <w:r w:rsidR="00A347F2" w:rsidRPr="00F863A6">
        <w:t>regional actions</w:t>
      </w:r>
      <w:r w:rsidR="00CD071A" w:rsidRPr="00F863A6">
        <w:t xml:space="preserve"> </w:t>
      </w:r>
      <w:r w:rsidR="00A347F2" w:rsidRPr="00F863A6">
        <w:t xml:space="preserve">have been </w:t>
      </w:r>
      <w:r w:rsidR="00ED07F3" w:rsidRPr="00F863A6">
        <w:t>completed</w:t>
      </w:r>
      <w:r w:rsidR="004475B0" w:rsidRPr="00F863A6">
        <w:t xml:space="preserve">, </w:t>
      </w:r>
      <w:r w:rsidR="00776D08">
        <w:t>but</w:t>
      </w:r>
      <w:r w:rsidR="004475B0" w:rsidRPr="00F863A6">
        <w:t xml:space="preserve"> o</w:t>
      </w:r>
      <w:r w:rsidR="00ED07F3" w:rsidRPr="00F863A6">
        <w:t>ver 40</w:t>
      </w:r>
      <w:r w:rsidR="00C269E8">
        <w:t>%</w:t>
      </w:r>
      <w:r w:rsidR="00A347F2" w:rsidRPr="00F863A6">
        <w:t xml:space="preserve"> actions still remain </w:t>
      </w:r>
      <w:r w:rsidR="00776D08">
        <w:t>only partially</w:t>
      </w:r>
      <w:r w:rsidR="00A347F2" w:rsidRPr="00F863A6">
        <w:t xml:space="preserve"> implemented. </w:t>
      </w:r>
    </w:p>
    <w:p w14:paraId="0183BE6E" w14:textId="5C9C5E93" w:rsidR="004F65FC" w:rsidRPr="00F863A6" w:rsidRDefault="007B6CA7" w:rsidP="00D8125F">
      <w:pPr>
        <w:jc w:val="both"/>
      </w:pPr>
      <w:r>
        <w:t xml:space="preserve">It is evident that </w:t>
      </w:r>
      <w:r w:rsidR="006F7C1A" w:rsidRPr="00F863A6">
        <w:t xml:space="preserve">a lot of work has been done and </w:t>
      </w:r>
      <w:r w:rsidR="00776D08">
        <w:t>significant</w:t>
      </w:r>
      <w:r w:rsidR="00EC4B77" w:rsidRPr="00F863A6">
        <w:t xml:space="preserve"> </w:t>
      </w:r>
      <w:r w:rsidR="006F7C1A" w:rsidRPr="00F863A6">
        <w:t xml:space="preserve">progress is being </w:t>
      </w:r>
      <w:r w:rsidR="004475B0" w:rsidRPr="00F863A6">
        <w:t>made</w:t>
      </w:r>
      <w:r w:rsidR="00EC4B77" w:rsidRPr="00F863A6">
        <w:t>.</w:t>
      </w:r>
      <w:r w:rsidR="006F7C1A" w:rsidRPr="00F863A6">
        <w:t xml:space="preserve"> </w:t>
      </w:r>
    </w:p>
    <w:p w14:paraId="210A04FD" w14:textId="53B7DD68" w:rsidR="002D09B1" w:rsidRPr="00F863A6" w:rsidRDefault="002D09B1" w:rsidP="00D8125F">
      <w:pPr>
        <w:jc w:val="both"/>
      </w:pPr>
      <w:r w:rsidRPr="00F863A6">
        <w:t>B</w:t>
      </w:r>
      <w:r w:rsidR="0011496A" w:rsidRPr="00F863A6">
        <w:t xml:space="preserve">ased on </w:t>
      </w:r>
      <w:r w:rsidRPr="00F863A6">
        <w:t>what we</w:t>
      </w:r>
      <w:r w:rsidR="0011496A" w:rsidRPr="00F863A6">
        <w:t xml:space="preserve"> know</w:t>
      </w:r>
      <w:r w:rsidRPr="00F863A6">
        <w:t xml:space="preserve"> now,</w:t>
      </w:r>
      <w:r w:rsidR="0011496A" w:rsidRPr="00F863A6">
        <w:t xml:space="preserve"> </w:t>
      </w:r>
      <w:r w:rsidR="00D8125F" w:rsidRPr="00F863A6">
        <w:t xml:space="preserve">however, </w:t>
      </w:r>
      <w:r w:rsidR="0011496A" w:rsidRPr="00F863A6">
        <w:t xml:space="preserve">I </w:t>
      </w:r>
      <w:r w:rsidR="00776D08">
        <w:t xml:space="preserve">must </w:t>
      </w:r>
      <w:r w:rsidR="0011496A" w:rsidRPr="00F863A6">
        <w:t xml:space="preserve">say that </w:t>
      </w:r>
      <w:r w:rsidR="00451E7C" w:rsidRPr="00F863A6">
        <w:t xml:space="preserve">we are quite far from reaching good environmental status </w:t>
      </w:r>
      <w:r w:rsidRPr="00F863A6">
        <w:t>for</w:t>
      </w:r>
      <w:r w:rsidR="00451E7C" w:rsidRPr="00F863A6">
        <w:t xml:space="preserve"> the Baltic Sea</w:t>
      </w:r>
      <w:r w:rsidRPr="00F863A6">
        <w:t xml:space="preserve">. There </w:t>
      </w:r>
      <w:r w:rsidR="004F65FC" w:rsidRPr="00F863A6">
        <w:t>are still many areas of concern and</w:t>
      </w:r>
      <w:r w:rsidR="00776D08">
        <w:t xml:space="preserve"> where</w:t>
      </w:r>
      <w:r w:rsidR="004F65FC" w:rsidRPr="00F863A6">
        <w:t xml:space="preserve"> </w:t>
      </w:r>
      <w:r w:rsidR="00D8125F" w:rsidRPr="00F863A6">
        <w:t xml:space="preserve">further </w:t>
      </w:r>
      <w:r w:rsidR="004F65FC" w:rsidRPr="00F863A6">
        <w:t xml:space="preserve">implementation </w:t>
      </w:r>
      <w:r w:rsidR="00D8125F" w:rsidRPr="00F863A6">
        <w:t>is needed</w:t>
      </w:r>
      <w:r w:rsidR="00776D08">
        <w:t xml:space="preserve">: </w:t>
      </w:r>
      <w:r w:rsidR="004F65FC" w:rsidRPr="00F863A6">
        <w:t xml:space="preserve">for </w:t>
      </w:r>
      <w:r w:rsidR="00D8125F" w:rsidRPr="00F863A6">
        <w:t xml:space="preserve">instance for </w:t>
      </w:r>
      <w:r w:rsidR="004F65FC" w:rsidRPr="00F863A6">
        <w:t xml:space="preserve">the Regional Action Plan on Marine Litter, nutrient accounting on farm level and nutrient recycling, impacts of underwater noise on biodiversity, Marine Protected Areas, </w:t>
      </w:r>
      <w:r w:rsidR="00D05DC0" w:rsidRPr="00F863A6">
        <w:t xml:space="preserve">and </w:t>
      </w:r>
      <w:r w:rsidR="00C269E8">
        <w:t xml:space="preserve">sustainable </w:t>
      </w:r>
      <w:r w:rsidR="004F65FC" w:rsidRPr="00F863A6">
        <w:t>fisheries.</w:t>
      </w:r>
      <w:r w:rsidR="00D8125F" w:rsidRPr="00F863A6">
        <w:t xml:space="preserve"> Further, countries need to carry out transboundary consultation of their national maritime spatial plans to ensure </w:t>
      </w:r>
      <w:r w:rsidR="00DF04FE">
        <w:t xml:space="preserve">the </w:t>
      </w:r>
      <w:r w:rsidR="00D8125F" w:rsidRPr="00F863A6">
        <w:t xml:space="preserve">coherence of these plans and overall suitable development. Guidelines on </w:t>
      </w:r>
      <w:r w:rsidR="00B816F0" w:rsidRPr="00F863A6">
        <w:t>such</w:t>
      </w:r>
      <w:r w:rsidR="00D8125F" w:rsidRPr="00F863A6">
        <w:t xml:space="preserve"> consultations have just been adopted by HELCOM and our partner </w:t>
      </w:r>
      <w:r w:rsidR="00B816F0" w:rsidRPr="00F863A6">
        <w:t>initiative</w:t>
      </w:r>
      <w:r w:rsidR="00D8125F" w:rsidRPr="00F863A6">
        <w:t xml:space="preserve"> VASAB. </w:t>
      </w:r>
    </w:p>
    <w:p w14:paraId="50E4011B" w14:textId="0831195A" w:rsidR="00286D84" w:rsidRPr="00F863A6" w:rsidRDefault="002D09B1" w:rsidP="00D8125F">
      <w:pPr>
        <w:jc w:val="both"/>
      </w:pPr>
      <w:r w:rsidRPr="00F863A6">
        <w:t>S</w:t>
      </w:r>
      <w:r w:rsidR="00286D84" w:rsidRPr="00F863A6">
        <w:t>till</w:t>
      </w:r>
      <w:r w:rsidRPr="00F863A6">
        <w:t>,</w:t>
      </w:r>
      <w:r w:rsidR="00286D84" w:rsidRPr="00F863A6">
        <w:t xml:space="preserve"> </w:t>
      </w:r>
      <w:r w:rsidR="00451E7C" w:rsidRPr="00F863A6">
        <w:t xml:space="preserve">I would like </w:t>
      </w:r>
      <w:r w:rsidR="00286D84" w:rsidRPr="00F863A6">
        <w:t xml:space="preserve">to </w:t>
      </w:r>
      <w:r w:rsidRPr="00F863A6">
        <w:t>end on</w:t>
      </w:r>
      <w:r w:rsidR="00286D84" w:rsidRPr="00F863A6">
        <w:t xml:space="preserve"> a positive note. </w:t>
      </w:r>
    </w:p>
    <w:p w14:paraId="0C6FA4CB" w14:textId="70064740" w:rsidR="00286D84" w:rsidRPr="00F863A6" w:rsidRDefault="002D09B1" w:rsidP="00D8125F">
      <w:pPr>
        <w:jc w:val="both"/>
      </w:pPr>
      <w:r w:rsidRPr="00F863A6">
        <w:t>Let’s take a look at</w:t>
      </w:r>
      <w:r w:rsidR="00451E7C" w:rsidRPr="00F863A6">
        <w:t xml:space="preserve"> inputs of phosphorus </w:t>
      </w:r>
      <w:r w:rsidRPr="00F863A6">
        <w:t xml:space="preserve">coming </w:t>
      </w:r>
      <w:r w:rsidR="00CE6623" w:rsidRPr="00F863A6">
        <w:t xml:space="preserve">from rivers flowing </w:t>
      </w:r>
      <w:r w:rsidRPr="00F863A6">
        <w:t>in</w:t>
      </w:r>
      <w:r w:rsidR="00CE6623" w:rsidRPr="00F863A6">
        <w:t xml:space="preserve">to the largest sub-basin of the Baltic Sea - the Baltic Proper, which also has a major influence on the status of </w:t>
      </w:r>
      <w:r w:rsidR="004475B0" w:rsidRPr="00F863A6">
        <w:t xml:space="preserve">eutrophication in </w:t>
      </w:r>
      <w:r w:rsidR="00CE6623" w:rsidRPr="00F863A6">
        <w:t>some neighbouring sub-basins.</w:t>
      </w:r>
      <w:r w:rsidR="004F65FC" w:rsidRPr="00F863A6">
        <w:t xml:space="preserve"> </w:t>
      </w:r>
      <w:r w:rsidR="00286D84" w:rsidRPr="00F863A6">
        <w:t>Th</w:t>
      </w:r>
      <w:r w:rsidR="00CE6623" w:rsidRPr="00F863A6">
        <w:t xml:space="preserve">e </w:t>
      </w:r>
      <w:r w:rsidR="00C269E8">
        <w:t xml:space="preserve">available </w:t>
      </w:r>
      <w:r w:rsidR="00CE6623" w:rsidRPr="00F863A6">
        <w:t xml:space="preserve">data series cover a period </w:t>
      </w:r>
      <w:r w:rsidR="00DF04FE">
        <w:t>of over</w:t>
      </w:r>
      <w:r w:rsidR="00CE6623" w:rsidRPr="00F863A6">
        <w:t xml:space="preserve"> </w:t>
      </w:r>
      <w:r w:rsidRPr="00F863A6">
        <w:t xml:space="preserve">a </w:t>
      </w:r>
      <w:r w:rsidR="00286D84" w:rsidRPr="00F863A6">
        <w:t xml:space="preserve">hundred years, </w:t>
      </w:r>
      <w:r w:rsidRPr="00F863A6">
        <w:t xml:space="preserve">which highlights </w:t>
      </w:r>
      <w:r w:rsidR="00286D84" w:rsidRPr="00F863A6">
        <w:t>how much patience and consistency is needed in successful marine environment policy-making.</w:t>
      </w:r>
    </w:p>
    <w:p w14:paraId="374B2804" w14:textId="51766617" w:rsidR="00DC66FD" w:rsidRPr="00F863A6" w:rsidRDefault="00286D84" w:rsidP="00D8125F">
      <w:pPr>
        <w:jc w:val="both"/>
      </w:pPr>
      <w:r w:rsidRPr="00F863A6">
        <w:t xml:space="preserve">Starting from </w:t>
      </w:r>
      <w:r w:rsidR="00DC66FD" w:rsidRPr="00F863A6">
        <w:t>1950s</w:t>
      </w:r>
      <w:r w:rsidRPr="00F863A6">
        <w:t xml:space="preserve"> </w:t>
      </w:r>
      <w:r w:rsidR="00C269E8">
        <w:t>there is</w:t>
      </w:r>
      <w:r w:rsidR="00DC66FD" w:rsidRPr="00F863A6">
        <w:t xml:space="preserve"> a</w:t>
      </w:r>
      <w:r w:rsidRPr="00F863A6">
        <w:t xml:space="preserve"> steep increase in inputs, </w:t>
      </w:r>
      <w:r w:rsidR="007102F9" w:rsidRPr="00F863A6">
        <w:t>peak</w:t>
      </w:r>
      <w:r w:rsidR="00DC66FD" w:rsidRPr="00F863A6">
        <w:t>ing</w:t>
      </w:r>
      <w:r w:rsidR="007102F9" w:rsidRPr="00F863A6">
        <w:t xml:space="preserve"> </w:t>
      </w:r>
      <w:r w:rsidRPr="00F863A6">
        <w:t xml:space="preserve">in </w:t>
      </w:r>
      <w:r w:rsidR="007B6CA7">
        <w:t xml:space="preserve">the </w:t>
      </w:r>
      <w:r w:rsidRPr="00F863A6">
        <w:t>early 80s</w:t>
      </w:r>
      <w:r w:rsidR="00DC66FD" w:rsidRPr="00F863A6">
        <w:t>.</w:t>
      </w:r>
      <w:r w:rsidRPr="00F863A6">
        <w:t xml:space="preserve"> </w:t>
      </w:r>
      <w:r w:rsidR="00DC66FD" w:rsidRPr="00F863A6">
        <w:t>B</w:t>
      </w:r>
      <w:r w:rsidRPr="00F863A6">
        <w:t>ut since then</w:t>
      </w:r>
      <w:r w:rsidR="00DC66FD" w:rsidRPr="00F863A6">
        <w:t>, there has been improvement</w:t>
      </w:r>
      <w:r w:rsidR="007B6CA7">
        <w:t xml:space="preserve"> and</w:t>
      </w:r>
      <w:r w:rsidR="00DF04FE">
        <w:t xml:space="preserve"> the inputs have decreased</w:t>
      </w:r>
      <w:r w:rsidRPr="00F863A6">
        <w:t>. The final step</w:t>
      </w:r>
      <w:r w:rsidR="00DC66FD" w:rsidRPr="00F863A6">
        <w:t>, of course, is</w:t>
      </w:r>
      <w:r w:rsidRPr="00F863A6">
        <w:t xml:space="preserve"> to reach the target set for 2021</w:t>
      </w:r>
      <w:r w:rsidR="00DC66FD" w:rsidRPr="00F863A6">
        <w:t>.</w:t>
      </w:r>
      <w:r w:rsidR="00DF04FE">
        <w:t xml:space="preserve"> The target</w:t>
      </w:r>
      <w:r w:rsidR="00DC66FD" w:rsidRPr="00F863A6">
        <w:t xml:space="preserve"> is ambitious and</w:t>
      </w:r>
      <w:r w:rsidRPr="00F863A6">
        <w:t xml:space="preserve"> might be quite </w:t>
      </w:r>
      <w:r w:rsidR="00CE6623" w:rsidRPr="00F863A6">
        <w:t>challenging</w:t>
      </w:r>
      <w:r w:rsidRPr="00F863A6">
        <w:t xml:space="preserve"> to achieve</w:t>
      </w:r>
      <w:r w:rsidR="00DC66FD" w:rsidRPr="00F863A6">
        <w:t xml:space="preserve">. </w:t>
      </w:r>
      <w:r w:rsidRPr="00F863A6">
        <w:t xml:space="preserve">I </w:t>
      </w:r>
      <w:r w:rsidR="00DC66FD" w:rsidRPr="00F863A6">
        <w:t xml:space="preserve">hope </w:t>
      </w:r>
      <w:r w:rsidR="004F65FC" w:rsidRPr="00F863A6">
        <w:t>HELCOM can rely on the support from the B</w:t>
      </w:r>
      <w:r w:rsidR="00D8125F" w:rsidRPr="00F863A6">
        <w:t xml:space="preserve">altic </w:t>
      </w:r>
      <w:r w:rsidR="004F65FC" w:rsidRPr="00F863A6">
        <w:t>S</w:t>
      </w:r>
      <w:r w:rsidR="00D8125F" w:rsidRPr="00F863A6">
        <w:t xml:space="preserve">ea Parliamentary </w:t>
      </w:r>
      <w:r w:rsidR="004F65FC" w:rsidRPr="00F863A6">
        <w:t>C</w:t>
      </w:r>
      <w:r w:rsidR="00D8125F" w:rsidRPr="00F863A6">
        <w:t>onference</w:t>
      </w:r>
      <w:r w:rsidR="004F65FC" w:rsidRPr="00F863A6">
        <w:t xml:space="preserve"> to</w:t>
      </w:r>
      <w:r w:rsidRPr="00F863A6">
        <w:t xml:space="preserve"> make it possible.</w:t>
      </w:r>
    </w:p>
    <w:p w14:paraId="3FC4559D" w14:textId="606FE2F5" w:rsidR="00335630" w:rsidRDefault="00076B28" w:rsidP="00D8125F">
      <w:pPr>
        <w:jc w:val="both"/>
      </w:pPr>
      <w:r w:rsidRPr="00F863A6">
        <w:lastRenderedPageBreak/>
        <w:t>Thank you!</w:t>
      </w:r>
    </w:p>
    <w:p w14:paraId="2DCE6FC9" w14:textId="618DA237" w:rsidR="002619C3" w:rsidRDefault="002619C3" w:rsidP="00D8125F">
      <w:pPr>
        <w:jc w:val="both"/>
      </w:pPr>
      <w:r>
        <w:t>Monika Stankiewicz</w:t>
      </w:r>
    </w:p>
    <w:p w14:paraId="63A34437" w14:textId="436FA0FA" w:rsidR="002619C3" w:rsidRPr="00F863A6" w:rsidRDefault="002619C3" w:rsidP="00D8125F">
      <w:pPr>
        <w:jc w:val="both"/>
      </w:pPr>
      <w:r>
        <w:t>HELCOM Executive Secretary</w:t>
      </w:r>
    </w:p>
    <w:sectPr w:rsidR="002619C3" w:rsidRPr="00F863A6" w:rsidSect="001E31F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1A6C"/>
    <w:multiLevelType w:val="hybridMultilevel"/>
    <w:tmpl w:val="39920196"/>
    <w:lvl w:ilvl="0" w:tplc="6AE66DC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55447A"/>
    <w:multiLevelType w:val="hybridMultilevel"/>
    <w:tmpl w:val="9B8277AC"/>
    <w:lvl w:ilvl="0" w:tplc="7A6E3834">
      <w:start w:val="1"/>
      <w:numFmt w:val="bullet"/>
      <w:lvlText w:val="•"/>
      <w:lvlJc w:val="left"/>
      <w:pPr>
        <w:tabs>
          <w:tab w:val="num" w:pos="720"/>
        </w:tabs>
        <w:ind w:left="720" w:hanging="360"/>
      </w:pPr>
      <w:rPr>
        <w:rFonts w:ascii="Arial" w:hAnsi="Arial" w:hint="default"/>
      </w:rPr>
    </w:lvl>
    <w:lvl w:ilvl="1" w:tplc="98326120" w:tentative="1">
      <w:start w:val="1"/>
      <w:numFmt w:val="bullet"/>
      <w:lvlText w:val="•"/>
      <w:lvlJc w:val="left"/>
      <w:pPr>
        <w:tabs>
          <w:tab w:val="num" w:pos="1440"/>
        </w:tabs>
        <w:ind w:left="1440" w:hanging="360"/>
      </w:pPr>
      <w:rPr>
        <w:rFonts w:ascii="Arial" w:hAnsi="Arial" w:hint="default"/>
      </w:rPr>
    </w:lvl>
    <w:lvl w:ilvl="2" w:tplc="5FDCEEBC" w:tentative="1">
      <w:start w:val="1"/>
      <w:numFmt w:val="bullet"/>
      <w:lvlText w:val="•"/>
      <w:lvlJc w:val="left"/>
      <w:pPr>
        <w:tabs>
          <w:tab w:val="num" w:pos="2160"/>
        </w:tabs>
        <w:ind w:left="2160" w:hanging="360"/>
      </w:pPr>
      <w:rPr>
        <w:rFonts w:ascii="Arial" w:hAnsi="Arial" w:hint="default"/>
      </w:rPr>
    </w:lvl>
    <w:lvl w:ilvl="3" w:tplc="60D42A44" w:tentative="1">
      <w:start w:val="1"/>
      <w:numFmt w:val="bullet"/>
      <w:lvlText w:val="•"/>
      <w:lvlJc w:val="left"/>
      <w:pPr>
        <w:tabs>
          <w:tab w:val="num" w:pos="2880"/>
        </w:tabs>
        <w:ind w:left="2880" w:hanging="360"/>
      </w:pPr>
      <w:rPr>
        <w:rFonts w:ascii="Arial" w:hAnsi="Arial" w:hint="default"/>
      </w:rPr>
    </w:lvl>
    <w:lvl w:ilvl="4" w:tplc="F78A14D8" w:tentative="1">
      <w:start w:val="1"/>
      <w:numFmt w:val="bullet"/>
      <w:lvlText w:val="•"/>
      <w:lvlJc w:val="left"/>
      <w:pPr>
        <w:tabs>
          <w:tab w:val="num" w:pos="3600"/>
        </w:tabs>
        <w:ind w:left="3600" w:hanging="360"/>
      </w:pPr>
      <w:rPr>
        <w:rFonts w:ascii="Arial" w:hAnsi="Arial" w:hint="default"/>
      </w:rPr>
    </w:lvl>
    <w:lvl w:ilvl="5" w:tplc="12FA69FE" w:tentative="1">
      <w:start w:val="1"/>
      <w:numFmt w:val="bullet"/>
      <w:lvlText w:val="•"/>
      <w:lvlJc w:val="left"/>
      <w:pPr>
        <w:tabs>
          <w:tab w:val="num" w:pos="4320"/>
        </w:tabs>
        <w:ind w:left="4320" w:hanging="360"/>
      </w:pPr>
      <w:rPr>
        <w:rFonts w:ascii="Arial" w:hAnsi="Arial" w:hint="default"/>
      </w:rPr>
    </w:lvl>
    <w:lvl w:ilvl="6" w:tplc="B22E033C" w:tentative="1">
      <w:start w:val="1"/>
      <w:numFmt w:val="bullet"/>
      <w:lvlText w:val="•"/>
      <w:lvlJc w:val="left"/>
      <w:pPr>
        <w:tabs>
          <w:tab w:val="num" w:pos="5040"/>
        </w:tabs>
        <w:ind w:left="5040" w:hanging="360"/>
      </w:pPr>
      <w:rPr>
        <w:rFonts w:ascii="Arial" w:hAnsi="Arial" w:hint="default"/>
      </w:rPr>
    </w:lvl>
    <w:lvl w:ilvl="7" w:tplc="5F14F822" w:tentative="1">
      <w:start w:val="1"/>
      <w:numFmt w:val="bullet"/>
      <w:lvlText w:val="•"/>
      <w:lvlJc w:val="left"/>
      <w:pPr>
        <w:tabs>
          <w:tab w:val="num" w:pos="5760"/>
        </w:tabs>
        <w:ind w:left="5760" w:hanging="360"/>
      </w:pPr>
      <w:rPr>
        <w:rFonts w:ascii="Arial" w:hAnsi="Arial" w:hint="default"/>
      </w:rPr>
    </w:lvl>
    <w:lvl w:ilvl="8" w:tplc="D456A2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5B14F2"/>
    <w:multiLevelType w:val="hybridMultilevel"/>
    <w:tmpl w:val="905455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134038"/>
    <w:multiLevelType w:val="hybridMultilevel"/>
    <w:tmpl w:val="A89E3F44"/>
    <w:lvl w:ilvl="0" w:tplc="0632F3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F7CC1"/>
    <w:multiLevelType w:val="hybridMultilevel"/>
    <w:tmpl w:val="E63C1336"/>
    <w:lvl w:ilvl="0" w:tplc="0632F3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4E"/>
    <w:rsid w:val="00076B28"/>
    <w:rsid w:val="0011496A"/>
    <w:rsid w:val="00141782"/>
    <w:rsid w:val="001A172C"/>
    <w:rsid w:val="001B512C"/>
    <w:rsid w:val="001C33E7"/>
    <w:rsid w:val="001E31FF"/>
    <w:rsid w:val="001F38BB"/>
    <w:rsid w:val="00210A35"/>
    <w:rsid w:val="002619C3"/>
    <w:rsid w:val="00286D84"/>
    <w:rsid w:val="002D09B1"/>
    <w:rsid w:val="00335630"/>
    <w:rsid w:val="00365770"/>
    <w:rsid w:val="003E4B22"/>
    <w:rsid w:val="003F6F29"/>
    <w:rsid w:val="00414C77"/>
    <w:rsid w:val="00423657"/>
    <w:rsid w:val="004475B0"/>
    <w:rsid w:val="00451E7C"/>
    <w:rsid w:val="004676CD"/>
    <w:rsid w:val="004D5E0D"/>
    <w:rsid w:val="004F65FC"/>
    <w:rsid w:val="005807FE"/>
    <w:rsid w:val="00597333"/>
    <w:rsid w:val="005C3175"/>
    <w:rsid w:val="005F00A3"/>
    <w:rsid w:val="00681EAD"/>
    <w:rsid w:val="00686791"/>
    <w:rsid w:val="00697E28"/>
    <w:rsid w:val="006A0AF0"/>
    <w:rsid w:val="006F7C1A"/>
    <w:rsid w:val="00701261"/>
    <w:rsid w:val="007046C4"/>
    <w:rsid w:val="007102F9"/>
    <w:rsid w:val="00776D08"/>
    <w:rsid w:val="00793997"/>
    <w:rsid w:val="007A5C4B"/>
    <w:rsid w:val="007B6CA7"/>
    <w:rsid w:val="007D00CD"/>
    <w:rsid w:val="007F144E"/>
    <w:rsid w:val="00826C6A"/>
    <w:rsid w:val="00863BAA"/>
    <w:rsid w:val="008A213A"/>
    <w:rsid w:val="008B0892"/>
    <w:rsid w:val="00900B47"/>
    <w:rsid w:val="00916EFC"/>
    <w:rsid w:val="009939A0"/>
    <w:rsid w:val="00A17CA4"/>
    <w:rsid w:val="00A3009D"/>
    <w:rsid w:val="00A347F2"/>
    <w:rsid w:val="00A36564"/>
    <w:rsid w:val="00A94F7E"/>
    <w:rsid w:val="00B0506A"/>
    <w:rsid w:val="00B5379A"/>
    <w:rsid w:val="00B816F0"/>
    <w:rsid w:val="00BD5197"/>
    <w:rsid w:val="00BF6E72"/>
    <w:rsid w:val="00C269E8"/>
    <w:rsid w:val="00C4252B"/>
    <w:rsid w:val="00C46D15"/>
    <w:rsid w:val="00C554AE"/>
    <w:rsid w:val="00C806E6"/>
    <w:rsid w:val="00CB4769"/>
    <w:rsid w:val="00CD06EB"/>
    <w:rsid w:val="00CD071A"/>
    <w:rsid w:val="00CE6623"/>
    <w:rsid w:val="00D05DC0"/>
    <w:rsid w:val="00D1140D"/>
    <w:rsid w:val="00D312A4"/>
    <w:rsid w:val="00D8125F"/>
    <w:rsid w:val="00DC66FD"/>
    <w:rsid w:val="00DF04FE"/>
    <w:rsid w:val="00E249B5"/>
    <w:rsid w:val="00E36377"/>
    <w:rsid w:val="00EC4B77"/>
    <w:rsid w:val="00ED07F3"/>
    <w:rsid w:val="00ED692B"/>
    <w:rsid w:val="00EF4D39"/>
    <w:rsid w:val="00F3309D"/>
    <w:rsid w:val="00F56DF0"/>
    <w:rsid w:val="00F61CE1"/>
    <w:rsid w:val="00F83020"/>
    <w:rsid w:val="00F863A6"/>
    <w:rsid w:val="00FE0A71"/>
    <w:rsid w:val="00FE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644B"/>
  <w15:chartTrackingRefBased/>
  <w15:docId w15:val="{1FD2D848-7BEE-4C61-958E-067AAFBB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C77"/>
    <w:rPr>
      <w:color w:val="0563C1"/>
      <w:u w:val="single"/>
    </w:rPr>
  </w:style>
  <w:style w:type="paragraph" w:styleId="ListParagraph">
    <w:name w:val="List Paragraph"/>
    <w:basedOn w:val="Normal"/>
    <w:uiPriority w:val="34"/>
    <w:qFormat/>
    <w:rsid w:val="00A347F2"/>
    <w:pPr>
      <w:ind w:left="720"/>
      <w:contextualSpacing/>
    </w:pPr>
  </w:style>
  <w:style w:type="character" w:styleId="CommentReference">
    <w:name w:val="annotation reference"/>
    <w:basedOn w:val="DefaultParagraphFont"/>
    <w:uiPriority w:val="99"/>
    <w:semiHidden/>
    <w:unhideWhenUsed/>
    <w:rsid w:val="00A3009D"/>
    <w:rPr>
      <w:sz w:val="16"/>
      <w:szCs w:val="16"/>
    </w:rPr>
  </w:style>
  <w:style w:type="paragraph" w:styleId="CommentText">
    <w:name w:val="annotation text"/>
    <w:basedOn w:val="Normal"/>
    <w:link w:val="CommentTextChar"/>
    <w:uiPriority w:val="99"/>
    <w:semiHidden/>
    <w:unhideWhenUsed/>
    <w:rsid w:val="00A3009D"/>
    <w:pPr>
      <w:spacing w:line="240" w:lineRule="auto"/>
    </w:pPr>
    <w:rPr>
      <w:sz w:val="20"/>
      <w:szCs w:val="20"/>
    </w:rPr>
  </w:style>
  <w:style w:type="character" w:customStyle="1" w:styleId="CommentTextChar">
    <w:name w:val="Comment Text Char"/>
    <w:basedOn w:val="DefaultParagraphFont"/>
    <w:link w:val="CommentText"/>
    <w:uiPriority w:val="99"/>
    <w:semiHidden/>
    <w:rsid w:val="00A3009D"/>
    <w:rPr>
      <w:sz w:val="20"/>
      <w:szCs w:val="20"/>
    </w:rPr>
  </w:style>
  <w:style w:type="paragraph" w:styleId="CommentSubject">
    <w:name w:val="annotation subject"/>
    <w:basedOn w:val="CommentText"/>
    <w:next w:val="CommentText"/>
    <w:link w:val="CommentSubjectChar"/>
    <w:uiPriority w:val="99"/>
    <w:semiHidden/>
    <w:unhideWhenUsed/>
    <w:rsid w:val="00A3009D"/>
    <w:rPr>
      <w:b/>
      <w:bCs/>
    </w:rPr>
  </w:style>
  <w:style w:type="character" w:customStyle="1" w:styleId="CommentSubjectChar">
    <w:name w:val="Comment Subject Char"/>
    <w:basedOn w:val="CommentTextChar"/>
    <w:link w:val="CommentSubject"/>
    <w:uiPriority w:val="99"/>
    <w:semiHidden/>
    <w:rsid w:val="00A3009D"/>
    <w:rPr>
      <w:b/>
      <w:bCs/>
      <w:sz w:val="20"/>
      <w:szCs w:val="20"/>
    </w:rPr>
  </w:style>
  <w:style w:type="paragraph" w:styleId="BalloonText">
    <w:name w:val="Balloon Text"/>
    <w:basedOn w:val="Normal"/>
    <w:link w:val="BalloonTextChar"/>
    <w:uiPriority w:val="99"/>
    <w:semiHidden/>
    <w:unhideWhenUsed/>
    <w:rsid w:val="00A30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9D"/>
    <w:rPr>
      <w:rFonts w:ascii="Segoe UI" w:hAnsi="Segoe UI" w:cs="Segoe UI"/>
      <w:sz w:val="18"/>
      <w:szCs w:val="18"/>
    </w:rPr>
  </w:style>
  <w:style w:type="paragraph" w:styleId="NormalWeb">
    <w:name w:val="Normal (Web)"/>
    <w:basedOn w:val="Normal"/>
    <w:uiPriority w:val="99"/>
    <w:semiHidden/>
    <w:unhideWhenUsed/>
    <w:rsid w:val="001A172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3784">
      <w:bodyDiv w:val="1"/>
      <w:marLeft w:val="0"/>
      <w:marRight w:val="0"/>
      <w:marTop w:val="0"/>
      <w:marBottom w:val="0"/>
      <w:divBdr>
        <w:top w:val="none" w:sz="0" w:space="0" w:color="auto"/>
        <w:left w:val="none" w:sz="0" w:space="0" w:color="auto"/>
        <w:bottom w:val="none" w:sz="0" w:space="0" w:color="auto"/>
        <w:right w:val="none" w:sz="0" w:space="0" w:color="auto"/>
      </w:divBdr>
    </w:div>
    <w:div w:id="955215681">
      <w:bodyDiv w:val="1"/>
      <w:marLeft w:val="0"/>
      <w:marRight w:val="0"/>
      <w:marTop w:val="0"/>
      <w:marBottom w:val="0"/>
      <w:divBdr>
        <w:top w:val="none" w:sz="0" w:space="0" w:color="auto"/>
        <w:left w:val="none" w:sz="0" w:space="0" w:color="auto"/>
        <w:bottom w:val="none" w:sz="0" w:space="0" w:color="auto"/>
        <w:right w:val="none" w:sz="0" w:space="0" w:color="auto"/>
      </w:divBdr>
      <w:divsChild>
        <w:div w:id="1488280063">
          <w:marLeft w:val="547"/>
          <w:marRight w:val="0"/>
          <w:marTop w:val="115"/>
          <w:marBottom w:val="0"/>
          <w:divBdr>
            <w:top w:val="none" w:sz="0" w:space="0" w:color="auto"/>
            <w:left w:val="none" w:sz="0" w:space="0" w:color="auto"/>
            <w:bottom w:val="none" w:sz="0" w:space="0" w:color="auto"/>
            <w:right w:val="none" w:sz="0" w:space="0" w:color="auto"/>
          </w:divBdr>
        </w:div>
      </w:divsChild>
    </w:div>
    <w:div w:id="15649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Stankiewicz</dc:creator>
  <cp:keywords/>
  <dc:description/>
  <cp:lastModifiedBy>Monika Stankiewicz</cp:lastModifiedBy>
  <cp:revision>7</cp:revision>
  <dcterms:created xsi:type="dcterms:W3CDTF">2016-08-26T09:48:00Z</dcterms:created>
  <dcterms:modified xsi:type="dcterms:W3CDTF">2016-08-26T09:57:00Z</dcterms:modified>
</cp:coreProperties>
</file>