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C2A" w:rsidRDefault="00507C2A" w:rsidP="008C48D5">
      <w:pPr>
        <w:spacing w:line="360" w:lineRule="auto"/>
        <w:jc w:val="center"/>
        <w:rPr>
          <w:rFonts w:ascii="Garamond" w:hAnsi="Garamond"/>
          <w:b/>
          <w:sz w:val="36"/>
          <w:lang w:val="en-GB"/>
        </w:rPr>
      </w:pPr>
    </w:p>
    <w:p w:rsidR="00507C2A" w:rsidRDefault="00507C2A" w:rsidP="008C48D5">
      <w:pPr>
        <w:spacing w:line="360" w:lineRule="auto"/>
        <w:jc w:val="center"/>
        <w:rPr>
          <w:rFonts w:ascii="Garamond" w:hAnsi="Garamond"/>
          <w:b/>
          <w:sz w:val="36"/>
          <w:lang w:val="en-GB"/>
        </w:rPr>
      </w:pPr>
    </w:p>
    <w:p w:rsidR="00EE568A" w:rsidRDefault="00EE568A" w:rsidP="008C48D5">
      <w:pPr>
        <w:spacing w:line="360" w:lineRule="auto"/>
        <w:jc w:val="center"/>
        <w:rPr>
          <w:rFonts w:ascii="Garamond" w:hAnsi="Garamond"/>
          <w:b/>
          <w:sz w:val="36"/>
          <w:lang w:val="en-GB"/>
        </w:rPr>
      </w:pPr>
    </w:p>
    <w:p w:rsidR="00EE568A" w:rsidRDefault="00EE568A" w:rsidP="008C48D5">
      <w:pPr>
        <w:spacing w:line="360" w:lineRule="auto"/>
        <w:jc w:val="center"/>
        <w:rPr>
          <w:rFonts w:ascii="Garamond" w:hAnsi="Garamond"/>
          <w:b/>
          <w:sz w:val="36"/>
          <w:lang w:val="en-GB"/>
        </w:rPr>
      </w:pPr>
    </w:p>
    <w:p w:rsidR="00507C2A" w:rsidRPr="003F3C31" w:rsidRDefault="008E7F8D" w:rsidP="008C48D5">
      <w:pPr>
        <w:spacing w:line="360" w:lineRule="auto"/>
        <w:jc w:val="center"/>
        <w:rPr>
          <w:rFonts w:ascii="Garamond" w:hAnsi="Garamond"/>
          <w:b/>
          <w:sz w:val="36"/>
          <w:lang w:val="en-GB"/>
        </w:rPr>
      </w:pPr>
      <w:r>
        <w:rPr>
          <w:rFonts w:ascii="Garamond" w:hAnsi="Garamond"/>
          <w:b/>
          <w:sz w:val="36"/>
          <w:lang w:val="en-GB"/>
        </w:rPr>
        <w:t>Policy Analysis</w:t>
      </w:r>
      <w:r w:rsidR="00D0510E">
        <w:rPr>
          <w:rFonts w:ascii="Garamond" w:hAnsi="Garamond"/>
          <w:b/>
          <w:sz w:val="36"/>
          <w:lang w:val="en-GB"/>
        </w:rPr>
        <w:t xml:space="preserve"> </w:t>
      </w:r>
      <w:r w:rsidR="00507C2A" w:rsidRPr="003F3C31">
        <w:rPr>
          <w:rFonts w:ascii="Garamond" w:hAnsi="Garamond"/>
          <w:b/>
          <w:sz w:val="36"/>
          <w:lang w:val="en-GB"/>
        </w:rPr>
        <w:t xml:space="preserve">– Baltic Sea Region Governments’ </w:t>
      </w:r>
      <w:r w:rsidR="00507C2A">
        <w:rPr>
          <w:rFonts w:ascii="Garamond" w:hAnsi="Garamond"/>
          <w:b/>
          <w:sz w:val="36"/>
          <w:lang w:val="en-GB"/>
        </w:rPr>
        <w:t>statements</w:t>
      </w:r>
      <w:r w:rsidR="00507C2A" w:rsidRPr="003F3C31">
        <w:rPr>
          <w:rFonts w:ascii="Garamond" w:hAnsi="Garamond"/>
          <w:b/>
          <w:sz w:val="36"/>
          <w:lang w:val="en-GB"/>
        </w:rPr>
        <w:t xml:space="preserve"> regarding the implementation of the</w:t>
      </w:r>
    </w:p>
    <w:p w:rsidR="00507C2A" w:rsidRPr="003F3C31" w:rsidRDefault="00507C2A" w:rsidP="008C48D5">
      <w:pPr>
        <w:spacing w:line="360" w:lineRule="auto"/>
        <w:jc w:val="center"/>
        <w:rPr>
          <w:rFonts w:ascii="Garamond" w:hAnsi="Garamond"/>
          <w:b/>
          <w:sz w:val="36"/>
          <w:lang w:val="en-GB"/>
        </w:rPr>
      </w:pPr>
      <w:r w:rsidRPr="003F3C31">
        <w:rPr>
          <w:rFonts w:ascii="Garamond" w:hAnsi="Garamond"/>
          <w:b/>
          <w:sz w:val="36"/>
          <w:lang w:val="en-GB"/>
        </w:rPr>
        <w:t>2</w:t>
      </w:r>
      <w:r w:rsidR="00D0510E">
        <w:rPr>
          <w:rFonts w:ascii="Garamond" w:hAnsi="Garamond"/>
          <w:b/>
          <w:sz w:val="36"/>
          <w:lang w:val="en-GB"/>
        </w:rPr>
        <w:t>6</w:t>
      </w:r>
      <w:r w:rsidRPr="003F3C31">
        <w:rPr>
          <w:rFonts w:ascii="Garamond" w:hAnsi="Garamond"/>
          <w:b/>
          <w:sz w:val="36"/>
          <w:vertAlign w:val="superscript"/>
          <w:lang w:val="en-GB"/>
        </w:rPr>
        <w:t>th</w:t>
      </w:r>
      <w:r w:rsidRPr="003F3C31">
        <w:rPr>
          <w:rFonts w:ascii="Garamond" w:hAnsi="Garamond"/>
          <w:b/>
          <w:sz w:val="36"/>
          <w:lang w:val="en-GB"/>
        </w:rPr>
        <w:t xml:space="preserve"> Baltic Sea Parliamentary Conference Resolution</w:t>
      </w:r>
    </w:p>
    <w:p w:rsidR="00507C2A" w:rsidRPr="003F3C31" w:rsidRDefault="00507C2A" w:rsidP="008C48D5">
      <w:pPr>
        <w:spacing w:line="360" w:lineRule="auto"/>
        <w:jc w:val="center"/>
        <w:rPr>
          <w:rFonts w:ascii="Garamond" w:hAnsi="Garamond"/>
          <w:b/>
          <w:sz w:val="32"/>
          <w:lang w:val="en-GB"/>
        </w:rPr>
      </w:pPr>
    </w:p>
    <w:p w:rsidR="00507C2A" w:rsidRPr="003F3C31" w:rsidRDefault="00507C2A" w:rsidP="008C48D5">
      <w:pPr>
        <w:spacing w:line="360" w:lineRule="auto"/>
        <w:jc w:val="center"/>
        <w:rPr>
          <w:rFonts w:ascii="Garamond" w:hAnsi="Garamond"/>
          <w:b/>
          <w:sz w:val="32"/>
          <w:lang w:val="en-GB"/>
        </w:rPr>
      </w:pPr>
    </w:p>
    <w:p w:rsidR="00507C2A" w:rsidRPr="003F3C31" w:rsidRDefault="00507C2A" w:rsidP="008C48D5">
      <w:pPr>
        <w:spacing w:line="360" w:lineRule="auto"/>
        <w:jc w:val="center"/>
        <w:rPr>
          <w:rFonts w:ascii="Garamond" w:hAnsi="Garamond"/>
          <w:b/>
          <w:sz w:val="22"/>
          <w:lang w:val="en-GB"/>
        </w:rPr>
      </w:pPr>
    </w:p>
    <w:p w:rsidR="00507C2A" w:rsidRPr="003F3C31" w:rsidRDefault="00507C2A" w:rsidP="008C48D5">
      <w:pPr>
        <w:spacing w:line="360" w:lineRule="auto"/>
        <w:jc w:val="center"/>
        <w:rPr>
          <w:rFonts w:ascii="Garamond" w:hAnsi="Garamond"/>
          <w:b/>
          <w:sz w:val="22"/>
          <w:lang w:val="en-GB"/>
        </w:rPr>
      </w:pPr>
    </w:p>
    <w:p w:rsidR="00507C2A" w:rsidRPr="003F3C31" w:rsidRDefault="00507C2A" w:rsidP="008C48D5">
      <w:pPr>
        <w:spacing w:line="360" w:lineRule="auto"/>
        <w:jc w:val="center"/>
        <w:rPr>
          <w:rFonts w:ascii="Garamond" w:hAnsi="Garamond"/>
          <w:b/>
          <w:sz w:val="22"/>
          <w:lang w:val="en-GB"/>
        </w:rPr>
      </w:pPr>
    </w:p>
    <w:p w:rsidR="00507C2A" w:rsidRPr="003F3C31" w:rsidRDefault="00507C2A" w:rsidP="008C48D5">
      <w:pPr>
        <w:spacing w:line="360" w:lineRule="auto"/>
        <w:jc w:val="center"/>
        <w:rPr>
          <w:rFonts w:ascii="Garamond" w:hAnsi="Garamond"/>
          <w:b/>
          <w:sz w:val="22"/>
          <w:lang w:val="en-GB"/>
        </w:rPr>
      </w:pPr>
    </w:p>
    <w:p w:rsidR="00507C2A" w:rsidRPr="003F3C31" w:rsidRDefault="00507C2A" w:rsidP="008C48D5">
      <w:pPr>
        <w:spacing w:line="360" w:lineRule="auto"/>
        <w:jc w:val="center"/>
        <w:rPr>
          <w:rFonts w:ascii="Garamond" w:hAnsi="Garamond"/>
          <w:b/>
          <w:sz w:val="22"/>
          <w:lang w:val="en-GB"/>
        </w:rPr>
      </w:pPr>
    </w:p>
    <w:p w:rsidR="00507C2A" w:rsidRPr="003F3C31" w:rsidRDefault="00507C2A" w:rsidP="008C48D5">
      <w:pPr>
        <w:spacing w:line="360" w:lineRule="auto"/>
        <w:jc w:val="center"/>
        <w:rPr>
          <w:rFonts w:ascii="Garamond" w:hAnsi="Garamond"/>
          <w:b/>
          <w:sz w:val="22"/>
          <w:lang w:val="en-GB"/>
        </w:rPr>
      </w:pPr>
    </w:p>
    <w:p w:rsidR="00507C2A" w:rsidRPr="000D22ED" w:rsidRDefault="00507C2A" w:rsidP="008C48D5">
      <w:pPr>
        <w:spacing w:line="360" w:lineRule="auto"/>
        <w:jc w:val="center"/>
        <w:rPr>
          <w:rFonts w:ascii="Garamond" w:hAnsi="Garamond"/>
          <w:b/>
          <w:lang w:val="en-GB"/>
        </w:rPr>
      </w:pPr>
      <w:r w:rsidRPr="000D22ED">
        <w:rPr>
          <w:rFonts w:ascii="Garamond" w:hAnsi="Garamond"/>
          <w:b/>
          <w:lang w:val="en-GB"/>
        </w:rPr>
        <w:t>Authors:</w:t>
      </w:r>
    </w:p>
    <w:p w:rsidR="00507C2A" w:rsidRPr="000D22ED" w:rsidRDefault="00507C2A" w:rsidP="008C48D5">
      <w:pPr>
        <w:spacing w:line="360" w:lineRule="auto"/>
        <w:jc w:val="center"/>
        <w:rPr>
          <w:rFonts w:ascii="Garamond" w:hAnsi="Garamond"/>
          <w:lang w:val="en-GB"/>
        </w:rPr>
      </w:pPr>
      <w:proofErr w:type="spellStart"/>
      <w:r w:rsidRPr="000D22ED">
        <w:rPr>
          <w:rFonts w:ascii="Garamond" w:hAnsi="Garamond"/>
          <w:lang w:val="en-GB"/>
        </w:rPr>
        <w:t>Dr.</w:t>
      </w:r>
      <w:proofErr w:type="spellEnd"/>
      <w:r w:rsidRPr="000D22ED">
        <w:rPr>
          <w:rFonts w:ascii="Garamond" w:hAnsi="Garamond"/>
          <w:lang w:val="en-GB"/>
        </w:rPr>
        <w:t xml:space="preserve"> Tobias </w:t>
      </w:r>
      <w:proofErr w:type="spellStart"/>
      <w:r w:rsidRPr="000D22ED">
        <w:rPr>
          <w:rFonts w:ascii="Garamond" w:hAnsi="Garamond"/>
          <w:lang w:val="en-GB"/>
        </w:rPr>
        <w:t>Etzold</w:t>
      </w:r>
      <w:proofErr w:type="spellEnd"/>
      <w:r w:rsidRPr="000D22ED">
        <w:rPr>
          <w:rFonts w:ascii="Garamond" w:hAnsi="Garamond"/>
          <w:lang w:val="en-GB"/>
        </w:rPr>
        <w:t xml:space="preserve"> &amp; Christian Opitz</w:t>
      </w:r>
      <w:r w:rsidRPr="000D22ED">
        <w:rPr>
          <w:rStyle w:val="Funotenzeichen"/>
          <w:rFonts w:ascii="Garamond" w:hAnsi="Garamond"/>
          <w:lang w:val="en-GB"/>
        </w:rPr>
        <w:footnoteReference w:customMarkFollows="1" w:id="1"/>
        <w:sym w:font="Symbol" w:char="F02A"/>
      </w:r>
    </w:p>
    <w:p w:rsidR="000F1E6C" w:rsidRDefault="00507C2A" w:rsidP="008C48D5">
      <w:pPr>
        <w:spacing w:line="360" w:lineRule="auto"/>
        <w:jc w:val="center"/>
        <w:rPr>
          <w:rFonts w:ascii="Garamond" w:hAnsi="Garamond"/>
        </w:rPr>
      </w:pPr>
      <w:r w:rsidRPr="000D22ED">
        <w:rPr>
          <w:rFonts w:ascii="Garamond" w:hAnsi="Garamond"/>
        </w:rPr>
        <w:t>Stiftung Wissenschaft und Politik (SWP)</w:t>
      </w:r>
      <w:r w:rsidR="000F1E6C">
        <w:rPr>
          <w:rFonts w:ascii="Garamond" w:hAnsi="Garamond"/>
        </w:rPr>
        <w:t>/</w:t>
      </w:r>
    </w:p>
    <w:p w:rsidR="00507C2A" w:rsidRPr="000F1E6C" w:rsidRDefault="000F1E6C" w:rsidP="008C48D5">
      <w:pPr>
        <w:spacing w:line="360" w:lineRule="auto"/>
        <w:jc w:val="center"/>
        <w:rPr>
          <w:rFonts w:ascii="Garamond" w:hAnsi="Garamond"/>
          <w:lang w:val="en-US"/>
        </w:rPr>
      </w:pPr>
      <w:r w:rsidRPr="000F1E6C">
        <w:rPr>
          <w:rFonts w:ascii="Garamond" w:hAnsi="Garamond"/>
          <w:lang w:val="en-US"/>
        </w:rPr>
        <w:t>German Institute for International and Security Affairs</w:t>
      </w:r>
    </w:p>
    <w:p w:rsidR="00507C2A" w:rsidRDefault="00507C2A" w:rsidP="008C48D5">
      <w:pPr>
        <w:spacing w:line="360" w:lineRule="auto"/>
        <w:jc w:val="center"/>
        <w:rPr>
          <w:rFonts w:ascii="Garamond" w:hAnsi="Garamond"/>
          <w:lang w:val="en-US"/>
        </w:rPr>
      </w:pPr>
    </w:p>
    <w:p w:rsidR="000F1E6C" w:rsidRDefault="000F1E6C" w:rsidP="008C48D5">
      <w:pPr>
        <w:spacing w:line="360" w:lineRule="auto"/>
        <w:jc w:val="center"/>
        <w:rPr>
          <w:rFonts w:ascii="Garamond" w:hAnsi="Garamond"/>
          <w:lang w:val="en-US"/>
        </w:rPr>
      </w:pPr>
    </w:p>
    <w:p w:rsidR="000F1E6C" w:rsidRPr="000F1E6C" w:rsidRDefault="000F1E6C" w:rsidP="008C48D5">
      <w:pPr>
        <w:spacing w:line="360" w:lineRule="auto"/>
        <w:jc w:val="center"/>
        <w:rPr>
          <w:rFonts w:ascii="Garamond" w:hAnsi="Garamond"/>
          <w:lang w:val="en-US"/>
        </w:rPr>
      </w:pPr>
    </w:p>
    <w:p w:rsidR="00507C2A" w:rsidRPr="000F1E6C" w:rsidRDefault="00507C2A" w:rsidP="008C48D5">
      <w:pPr>
        <w:spacing w:line="360" w:lineRule="auto"/>
        <w:jc w:val="center"/>
        <w:rPr>
          <w:rFonts w:ascii="Garamond" w:hAnsi="Garamond"/>
          <w:lang w:val="en-US"/>
        </w:rPr>
      </w:pPr>
    </w:p>
    <w:p w:rsidR="00507C2A" w:rsidRDefault="00507C2A" w:rsidP="008C48D5">
      <w:pPr>
        <w:spacing w:line="360" w:lineRule="auto"/>
        <w:jc w:val="center"/>
        <w:rPr>
          <w:rFonts w:ascii="Garamond" w:hAnsi="Garamond"/>
          <w:lang w:val="en-GB"/>
        </w:rPr>
      </w:pPr>
      <w:r w:rsidRPr="000D22ED">
        <w:rPr>
          <w:rFonts w:ascii="Garamond" w:hAnsi="Garamond"/>
          <w:lang w:val="en-GB"/>
        </w:rPr>
        <w:t xml:space="preserve">Berlin, </w:t>
      </w:r>
      <w:r w:rsidR="006434BE">
        <w:rPr>
          <w:rFonts w:ascii="Garamond" w:hAnsi="Garamond"/>
          <w:lang w:val="en-GB"/>
        </w:rPr>
        <w:t>9</w:t>
      </w:r>
      <w:r w:rsidR="0074539C">
        <w:rPr>
          <w:rFonts w:ascii="Garamond" w:hAnsi="Garamond"/>
          <w:lang w:val="en-GB"/>
        </w:rPr>
        <w:t xml:space="preserve"> </w:t>
      </w:r>
      <w:r w:rsidR="00AE0EB3">
        <w:rPr>
          <w:rFonts w:ascii="Garamond" w:hAnsi="Garamond"/>
          <w:lang w:val="en-GB"/>
        </w:rPr>
        <w:t>August</w:t>
      </w:r>
      <w:r w:rsidRPr="000D22ED">
        <w:rPr>
          <w:rFonts w:ascii="Garamond" w:hAnsi="Garamond"/>
          <w:lang w:val="en-GB"/>
        </w:rPr>
        <w:t xml:space="preserve"> 201</w:t>
      </w:r>
      <w:r w:rsidR="00D0510E">
        <w:rPr>
          <w:rFonts w:ascii="Garamond" w:hAnsi="Garamond"/>
          <w:lang w:val="en-GB"/>
        </w:rPr>
        <w:t>8</w:t>
      </w:r>
    </w:p>
    <w:p w:rsidR="00214F2F" w:rsidRDefault="00214F2F" w:rsidP="008C48D5">
      <w:pPr>
        <w:spacing w:line="360" w:lineRule="auto"/>
        <w:jc w:val="center"/>
        <w:rPr>
          <w:rFonts w:ascii="Garamond" w:hAnsi="Garamond"/>
          <w:lang w:val="en-GB"/>
        </w:rPr>
      </w:pPr>
    </w:p>
    <w:p w:rsidR="00214F2F" w:rsidRPr="006C4EC5" w:rsidRDefault="00214F2F" w:rsidP="00214F2F">
      <w:pPr>
        <w:jc w:val="center"/>
        <w:rPr>
          <w:lang w:val="en-GB"/>
        </w:rPr>
      </w:pPr>
      <w:r>
        <w:rPr>
          <w:sz w:val="15"/>
          <w:szCs w:val="15"/>
          <w:lang w:val="en-GB"/>
        </w:rPr>
        <w:t xml:space="preserve">Including the results of the </w:t>
      </w:r>
      <w:r w:rsidRPr="006C4EC5">
        <w:rPr>
          <w:sz w:val="15"/>
          <w:szCs w:val="15"/>
          <w:lang w:val="en-GB"/>
        </w:rPr>
        <w:t>BSPC SC Mariehamn 26 August 2018</w:t>
      </w:r>
    </w:p>
    <w:p w:rsidR="00214F2F" w:rsidRDefault="00214F2F" w:rsidP="00214F2F">
      <w:pPr>
        <w:spacing w:line="360" w:lineRule="auto"/>
        <w:jc w:val="center"/>
        <w:rPr>
          <w:rFonts w:ascii="Garamond" w:hAnsi="Garamond"/>
          <w:b/>
          <w:sz w:val="36"/>
          <w:lang w:val="en-GB"/>
        </w:rPr>
      </w:pPr>
    </w:p>
    <w:p w:rsidR="00214F2F" w:rsidRPr="000D22ED" w:rsidRDefault="00214F2F" w:rsidP="008C48D5">
      <w:pPr>
        <w:spacing w:line="360" w:lineRule="auto"/>
        <w:jc w:val="center"/>
        <w:rPr>
          <w:rFonts w:ascii="Garamond" w:hAnsi="Garamond"/>
          <w:lang w:val="en-GB"/>
        </w:rPr>
      </w:pPr>
    </w:p>
    <w:p w:rsidR="00507C2A" w:rsidRDefault="00507C2A" w:rsidP="008C48D5">
      <w:pPr>
        <w:spacing w:line="360" w:lineRule="auto"/>
        <w:jc w:val="center"/>
        <w:rPr>
          <w:rFonts w:ascii="Garamond" w:hAnsi="Garamond"/>
          <w:b/>
          <w:sz w:val="22"/>
          <w:lang w:val="en-GB"/>
        </w:rPr>
      </w:pPr>
    </w:p>
    <w:p w:rsidR="00507C2A" w:rsidRDefault="00507C2A" w:rsidP="008C48D5">
      <w:pPr>
        <w:spacing w:line="360" w:lineRule="auto"/>
        <w:jc w:val="center"/>
        <w:rPr>
          <w:rFonts w:ascii="Garamond" w:hAnsi="Garamond"/>
          <w:b/>
          <w:sz w:val="22"/>
          <w:lang w:val="en-GB"/>
        </w:rPr>
      </w:pPr>
    </w:p>
    <w:p w:rsidR="00507C2A" w:rsidRDefault="00507C2A" w:rsidP="008C48D5">
      <w:pPr>
        <w:spacing w:line="360" w:lineRule="auto"/>
        <w:jc w:val="center"/>
        <w:rPr>
          <w:rFonts w:ascii="Garamond" w:hAnsi="Garamond"/>
          <w:b/>
          <w:sz w:val="22"/>
          <w:lang w:val="en-GB"/>
        </w:rPr>
      </w:pPr>
    </w:p>
    <w:p w:rsidR="00507C2A" w:rsidRDefault="00507C2A" w:rsidP="008C48D5">
      <w:pPr>
        <w:spacing w:line="360" w:lineRule="auto"/>
        <w:jc w:val="center"/>
        <w:rPr>
          <w:rFonts w:ascii="Garamond" w:hAnsi="Garamond"/>
          <w:b/>
          <w:sz w:val="22"/>
          <w:lang w:val="en-GB"/>
        </w:rPr>
      </w:pPr>
    </w:p>
    <w:p w:rsidR="00507C2A" w:rsidRDefault="00507C2A" w:rsidP="008C48D5">
      <w:pPr>
        <w:spacing w:line="360" w:lineRule="auto"/>
        <w:jc w:val="center"/>
        <w:rPr>
          <w:rFonts w:ascii="Garamond" w:hAnsi="Garamond"/>
          <w:b/>
          <w:sz w:val="22"/>
          <w:lang w:val="en-GB"/>
        </w:rPr>
      </w:pPr>
    </w:p>
    <w:p w:rsidR="00536E9F" w:rsidRPr="001B4306" w:rsidRDefault="00536E9F" w:rsidP="008C48D5">
      <w:pPr>
        <w:pStyle w:val="Listenabsatz"/>
        <w:numPr>
          <w:ilvl w:val="0"/>
          <w:numId w:val="9"/>
        </w:numPr>
        <w:spacing w:line="280" w:lineRule="exact"/>
        <w:ind w:left="357" w:hanging="357"/>
        <w:jc w:val="both"/>
        <w:rPr>
          <w:rFonts w:ascii="Garamond" w:hAnsi="Garamond"/>
          <w:sz w:val="26"/>
          <w:szCs w:val="26"/>
          <w:lang w:val="en-GB"/>
        </w:rPr>
      </w:pPr>
      <w:r w:rsidRPr="00446CCD">
        <w:rPr>
          <w:rFonts w:ascii="Garamond" w:hAnsi="Garamond"/>
          <w:b/>
          <w:sz w:val="26"/>
          <w:szCs w:val="26"/>
          <w:lang w:val="en-GB"/>
        </w:rPr>
        <w:t>Introduction</w:t>
      </w:r>
    </w:p>
    <w:p w:rsidR="001B4306" w:rsidRPr="001B4306" w:rsidRDefault="001B4306" w:rsidP="008C48D5">
      <w:pPr>
        <w:spacing w:line="280" w:lineRule="exact"/>
        <w:jc w:val="both"/>
        <w:rPr>
          <w:rFonts w:ascii="Garamond" w:hAnsi="Garamond"/>
          <w:sz w:val="22"/>
          <w:szCs w:val="22"/>
          <w:lang w:val="en-GB"/>
        </w:rPr>
      </w:pPr>
    </w:p>
    <w:p w:rsidR="006C6D0A" w:rsidRDefault="00536E9F" w:rsidP="008C48D5">
      <w:pPr>
        <w:pStyle w:val="Default"/>
        <w:jc w:val="both"/>
        <w:rPr>
          <w:rFonts w:ascii="Garamond" w:hAnsi="Garamond"/>
          <w:lang w:val="en-GB"/>
        </w:rPr>
      </w:pPr>
      <w:r w:rsidRPr="000D22ED">
        <w:rPr>
          <w:rFonts w:ascii="Garamond" w:hAnsi="Garamond"/>
          <w:lang w:val="en-GB"/>
        </w:rPr>
        <w:t xml:space="preserve">On </w:t>
      </w:r>
      <w:r w:rsidR="00D0510E">
        <w:rPr>
          <w:rFonts w:ascii="Garamond" w:hAnsi="Garamond"/>
          <w:lang w:val="en-GB"/>
        </w:rPr>
        <w:t>3-5 September</w:t>
      </w:r>
      <w:r w:rsidRPr="000D22ED">
        <w:rPr>
          <w:rFonts w:ascii="Garamond" w:hAnsi="Garamond"/>
          <w:lang w:val="en-GB"/>
        </w:rPr>
        <w:t xml:space="preserve"> 201</w:t>
      </w:r>
      <w:r w:rsidR="00D0510E">
        <w:rPr>
          <w:rFonts w:ascii="Garamond" w:hAnsi="Garamond"/>
          <w:lang w:val="en-GB"/>
        </w:rPr>
        <w:t>7</w:t>
      </w:r>
      <w:r w:rsidRPr="000D22ED">
        <w:rPr>
          <w:rFonts w:ascii="Garamond" w:hAnsi="Garamond"/>
          <w:lang w:val="en-GB"/>
        </w:rPr>
        <w:t xml:space="preserve"> elected legislators from the Baltic Sea Region </w:t>
      </w:r>
      <w:r w:rsidR="009451FE">
        <w:rPr>
          <w:rFonts w:ascii="Garamond" w:hAnsi="Garamond"/>
          <w:lang w:val="en-GB"/>
        </w:rPr>
        <w:t>s</w:t>
      </w:r>
      <w:r w:rsidRPr="000D22ED">
        <w:rPr>
          <w:rFonts w:ascii="Garamond" w:hAnsi="Garamond"/>
          <w:lang w:val="en-GB"/>
        </w:rPr>
        <w:t>tates</w:t>
      </w:r>
      <w:r w:rsidR="0085060C">
        <w:rPr>
          <w:rStyle w:val="Funotenzeichen"/>
          <w:rFonts w:ascii="Garamond" w:hAnsi="Garamond"/>
          <w:lang w:val="en-GB"/>
        </w:rPr>
        <w:footnoteReference w:id="2"/>
      </w:r>
      <w:r w:rsidRPr="000D22ED">
        <w:rPr>
          <w:rFonts w:ascii="Garamond" w:hAnsi="Garamond"/>
          <w:lang w:val="en-GB"/>
        </w:rPr>
        <w:t xml:space="preserve"> </w:t>
      </w:r>
      <w:r w:rsidR="004A52BA" w:rsidRPr="000D22ED">
        <w:rPr>
          <w:rFonts w:ascii="Garamond" w:hAnsi="Garamond"/>
          <w:lang w:val="en-GB"/>
        </w:rPr>
        <w:t>a</w:t>
      </w:r>
      <w:r w:rsidRPr="000D22ED">
        <w:rPr>
          <w:rFonts w:ascii="Garamond" w:hAnsi="Garamond"/>
          <w:lang w:val="en-GB"/>
        </w:rPr>
        <w:t>ssembl</w:t>
      </w:r>
      <w:r w:rsidR="004A52BA" w:rsidRPr="000D22ED">
        <w:rPr>
          <w:rFonts w:ascii="Garamond" w:hAnsi="Garamond"/>
          <w:lang w:val="en-GB"/>
        </w:rPr>
        <w:t>ed</w:t>
      </w:r>
      <w:r w:rsidRPr="000D22ED">
        <w:rPr>
          <w:rFonts w:ascii="Garamond" w:hAnsi="Garamond"/>
          <w:lang w:val="en-GB"/>
        </w:rPr>
        <w:t xml:space="preserve"> in </w:t>
      </w:r>
      <w:r w:rsidR="00D0510E">
        <w:rPr>
          <w:rFonts w:ascii="Garamond" w:hAnsi="Garamond"/>
          <w:lang w:val="en-GB"/>
        </w:rPr>
        <w:t>Hamburg</w:t>
      </w:r>
      <w:r w:rsidRPr="000D22ED">
        <w:rPr>
          <w:rFonts w:ascii="Garamond" w:hAnsi="Garamond"/>
          <w:lang w:val="en-GB"/>
        </w:rPr>
        <w:t xml:space="preserve">, </w:t>
      </w:r>
      <w:r w:rsidR="00D0510E">
        <w:rPr>
          <w:rFonts w:ascii="Garamond" w:hAnsi="Garamond"/>
          <w:lang w:val="en-GB"/>
        </w:rPr>
        <w:t>Germany</w:t>
      </w:r>
      <w:r w:rsidRPr="000D22ED">
        <w:rPr>
          <w:rFonts w:ascii="Garamond" w:hAnsi="Garamond"/>
          <w:lang w:val="en-GB"/>
        </w:rPr>
        <w:t xml:space="preserve">, </w:t>
      </w:r>
      <w:r w:rsidR="004A52BA" w:rsidRPr="000D22ED">
        <w:rPr>
          <w:rFonts w:ascii="Garamond" w:hAnsi="Garamond"/>
          <w:lang w:val="en-GB"/>
        </w:rPr>
        <w:t xml:space="preserve">and </w:t>
      </w:r>
      <w:r w:rsidRPr="000D22ED">
        <w:rPr>
          <w:rFonts w:ascii="Garamond" w:hAnsi="Garamond"/>
          <w:lang w:val="en-GB"/>
        </w:rPr>
        <w:t>adopted the 2</w:t>
      </w:r>
      <w:r w:rsidR="00D0510E">
        <w:rPr>
          <w:rFonts w:ascii="Garamond" w:hAnsi="Garamond"/>
          <w:lang w:val="en-GB"/>
        </w:rPr>
        <w:t>6</w:t>
      </w:r>
      <w:r w:rsidRPr="000D22ED">
        <w:rPr>
          <w:rFonts w:ascii="Garamond" w:hAnsi="Garamond"/>
          <w:vertAlign w:val="superscript"/>
          <w:lang w:val="en-GB"/>
        </w:rPr>
        <w:t>th</w:t>
      </w:r>
      <w:r w:rsidRPr="000D22ED">
        <w:rPr>
          <w:rFonts w:ascii="Garamond" w:hAnsi="Garamond"/>
          <w:lang w:val="en-GB"/>
        </w:rPr>
        <w:t xml:space="preserve"> Baltic Sea Parliamentary Conference (BSPC) Resolution.</w:t>
      </w:r>
      <w:r w:rsidR="006C6D0A" w:rsidRPr="000D22ED">
        <w:rPr>
          <w:rFonts w:ascii="Garamond" w:hAnsi="Garamond"/>
          <w:lang w:val="en-GB"/>
        </w:rPr>
        <w:t xml:space="preserve"> In addition to a preamble the Resolution emphasises</w:t>
      </w:r>
      <w:r w:rsidR="00643D0B">
        <w:rPr>
          <w:rFonts w:ascii="Garamond" w:hAnsi="Garamond"/>
          <w:lang w:val="en-GB"/>
        </w:rPr>
        <w:t xml:space="preserve"> </w:t>
      </w:r>
      <w:r w:rsidR="008C48D5">
        <w:rPr>
          <w:rFonts w:ascii="Garamond" w:hAnsi="Garamond"/>
          <w:lang w:val="en-GB"/>
        </w:rPr>
        <w:t xml:space="preserve">the </w:t>
      </w:r>
      <w:r w:rsidR="00643D0B">
        <w:rPr>
          <w:rFonts w:ascii="Garamond" w:hAnsi="Garamond"/>
          <w:lang w:val="en-GB"/>
        </w:rPr>
        <w:t>general cooperation in the Baltic Sea region and</w:t>
      </w:r>
      <w:r w:rsidR="006C6D0A" w:rsidRPr="000D22ED">
        <w:rPr>
          <w:rFonts w:ascii="Garamond" w:hAnsi="Garamond"/>
          <w:lang w:val="en-GB"/>
        </w:rPr>
        <w:t xml:space="preserve"> </w:t>
      </w:r>
      <w:r w:rsidR="00F378AC">
        <w:rPr>
          <w:rFonts w:ascii="Garamond" w:hAnsi="Garamond"/>
          <w:lang w:val="en-GB"/>
        </w:rPr>
        <w:t>three</w:t>
      </w:r>
      <w:r w:rsidR="009B4301">
        <w:rPr>
          <w:rFonts w:ascii="Garamond" w:hAnsi="Garamond"/>
          <w:lang w:val="en-GB"/>
        </w:rPr>
        <w:t xml:space="preserve"> </w:t>
      </w:r>
      <w:r w:rsidR="00643D0B">
        <w:rPr>
          <w:rFonts w:ascii="Garamond" w:hAnsi="Garamond"/>
          <w:lang w:val="en-GB"/>
        </w:rPr>
        <w:t xml:space="preserve">specific </w:t>
      </w:r>
      <w:r w:rsidR="009B4301">
        <w:rPr>
          <w:rFonts w:ascii="Garamond" w:hAnsi="Garamond"/>
          <w:lang w:val="en-GB"/>
        </w:rPr>
        <w:t>priority areas for action:</w:t>
      </w:r>
    </w:p>
    <w:p w:rsidR="009B4301" w:rsidRPr="000D22ED" w:rsidRDefault="009B4301" w:rsidP="008C48D5">
      <w:pPr>
        <w:pStyle w:val="Default"/>
        <w:jc w:val="both"/>
        <w:rPr>
          <w:rFonts w:ascii="Garamond" w:hAnsi="Garamond"/>
          <w:lang w:val="en-GB"/>
        </w:rPr>
      </w:pPr>
    </w:p>
    <w:p w:rsidR="006C6D0A" w:rsidRDefault="00D0510E" w:rsidP="008C48D5">
      <w:pPr>
        <w:pStyle w:val="Default"/>
        <w:numPr>
          <w:ilvl w:val="0"/>
          <w:numId w:val="4"/>
        </w:numPr>
        <w:jc w:val="both"/>
        <w:rPr>
          <w:rFonts w:ascii="Garamond" w:hAnsi="Garamond"/>
          <w:lang w:val="en-GB"/>
        </w:rPr>
      </w:pPr>
      <w:r>
        <w:rPr>
          <w:rFonts w:ascii="Garamond" w:hAnsi="Garamond"/>
          <w:lang w:val="en-GB"/>
        </w:rPr>
        <w:t>Democratic Participation and the Digital Age</w:t>
      </w:r>
      <w:r w:rsidR="009B4301">
        <w:rPr>
          <w:rFonts w:ascii="Garamond" w:hAnsi="Garamond"/>
          <w:lang w:val="en-GB"/>
        </w:rPr>
        <w:t>;</w:t>
      </w:r>
    </w:p>
    <w:p w:rsidR="00D0510E" w:rsidRPr="000D22ED" w:rsidRDefault="00D0510E" w:rsidP="008C48D5">
      <w:pPr>
        <w:pStyle w:val="Default"/>
        <w:numPr>
          <w:ilvl w:val="0"/>
          <w:numId w:val="4"/>
        </w:numPr>
        <w:jc w:val="both"/>
        <w:rPr>
          <w:rFonts w:ascii="Garamond" w:hAnsi="Garamond"/>
          <w:lang w:val="en-GB"/>
        </w:rPr>
      </w:pPr>
      <w:r>
        <w:rPr>
          <w:rFonts w:ascii="Garamond" w:hAnsi="Garamond"/>
          <w:lang w:val="en-GB"/>
        </w:rPr>
        <w:t>Innovative Science and Research;</w:t>
      </w:r>
    </w:p>
    <w:p w:rsidR="006C6D0A" w:rsidRPr="000D22ED" w:rsidRDefault="006C6D0A" w:rsidP="008C48D5">
      <w:pPr>
        <w:pStyle w:val="Default"/>
        <w:numPr>
          <w:ilvl w:val="0"/>
          <w:numId w:val="4"/>
        </w:numPr>
        <w:jc w:val="both"/>
        <w:rPr>
          <w:rFonts w:ascii="Garamond" w:hAnsi="Garamond"/>
          <w:lang w:val="en-GB"/>
        </w:rPr>
      </w:pPr>
      <w:r w:rsidRPr="000D22ED">
        <w:rPr>
          <w:rFonts w:ascii="Garamond" w:hAnsi="Garamond"/>
          <w:lang w:val="en-GB"/>
        </w:rPr>
        <w:t>Sustainable Tourism.</w:t>
      </w:r>
    </w:p>
    <w:p w:rsidR="00536E9F" w:rsidRPr="000D22ED" w:rsidRDefault="00536E9F" w:rsidP="008C48D5">
      <w:pPr>
        <w:spacing w:line="280" w:lineRule="exact"/>
        <w:jc w:val="both"/>
        <w:rPr>
          <w:rFonts w:ascii="Garamond" w:hAnsi="Garamond" w:cs="Verdana"/>
          <w:lang w:val="en-GB"/>
        </w:rPr>
      </w:pPr>
    </w:p>
    <w:p w:rsidR="00536E9F" w:rsidRDefault="00536E9F" w:rsidP="008C48D5">
      <w:pPr>
        <w:spacing w:line="280" w:lineRule="exact"/>
        <w:jc w:val="both"/>
        <w:rPr>
          <w:rFonts w:ascii="Garamond" w:hAnsi="Garamond"/>
          <w:lang w:val="en-GB"/>
        </w:rPr>
      </w:pPr>
      <w:r w:rsidRPr="000D22ED">
        <w:rPr>
          <w:rFonts w:ascii="Garamond" w:hAnsi="Garamond"/>
          <w:lang w:val="en-GB"/>
        </w:rPr>
        <w:t>As a follow up to the 2</w:t>
      </w:r>
      <w:r w:rsidR="00D0510E">
        <w:rPr>
          <w:rFonts w:ascii="Garamond" w:hAnsi="Garamond"/>
          <w:lang w:val="en-GB"/>
        </w:rPr>
        <w:t>6</w:t>
      </w:r>
      <w:r w:rsidR="00D0510E">
        <w:rPr>
          <w:rFonts w:ascii="Garamond" w:hAnsi="Garamond"/>
          <w:vertAlign w:val="superscript"/>
          <w:lang w:val="en-GB"/>
        </w:rPr>
        <w:t>th</w:t>
      </w:r>
      <w:r w:rsidRPr="000D22ED">
        <w:rPr>
          <w:rFonts w:ascii="Garamond" w:hAnsi="Garamond"/>
          <w:lang w:val="en-GB"/>
        </w:rPr>
        <w:t xml:space="preserve"> BSPC and in pre</w:t>
      </w:r>
      <w:r w:rsidR="006C6D0A" w:rsidRPr="000D22ED">
        <w:rPr>
          <w:rFonts w:ascii="Garamond" w:hAnsi="Garamond"/>
          <w:lang w:val="en-GB"/>
        </w:rPr>
        <w:t>p</w:t>
      </w:r>
      <w:r w:rsidRPr="000D22ED">
        <w:rPr>
          <w:rFonts w:ascii="Garamond" w:hAnsi="Garamond"/>
          <w:lang w:val="en-GB"/>
        </w:rPr>
        <w:t>aration of the 2</w:t>
      </w:r>
      <w:r w:rsidR="00D0510E">
        <w:rPr>
          <w:rFonts w:ascii="Garamond" w:hAnsi="Garamond"/>
          <w:lang w:val="en-GB"/>
        </w:rPr>
        <w:t>7</w:t>
      </w:r>
      <w:r w:rsidRPr="000D22ED">
        <w:rPr>
          <w:rFonts w:ascii="Garamond" w:hAnsi="Garamond"/>
          <w:vertAlign w:val="superscript"/>
          <w:lang w:val="en-GB"/>
        </w:rPr>
        <w:t>th</w:t>
      </w:r>
      <w:r w:rsidRPr="000D22ED">
        <w:rPr>
          <w:rFonts w:ascii="Garamond" w:hAnsi="Garamond"/>
          <w:lang w:val="en-GB"/>
        </w:rPr>
        <w:t xml:space="preserve"> BSPC </w:t>
      </w:r>
      <w:r w:rsidR="006A0A19">
        <w:rPr>
          <w:rFonts w:ascii="Garamond" w:hAnsi="Garamond"/>
          <w:lang w:val="en-GB"/>
        </w:rPr>
        <w:t>o</w:t>
      </w:r>
      <w:r w:rsidRPr="000D22ED">
        <w:rPr>
          <w:rFonts w:ascii="Garamond" w:hAnsi="Garamond"/>
          <w:lang w:val="en-GB"/>
        </w:rPr>
        <w:t>n</w:t>
      </w:r>
      <w:r w:rsidR="006A0A19">
        <w:rPr>
          <w:rFonts w:ascii="Garamond" w:hAnsi="Garamond"/>
          <w:lang w:val="en-GB"/>
        </w:rPr>
        <w:t xml:space="preserve"> 26-28</w:t>
      </w:r>
      <w:r w:rsidRPr="000D22ED">
        <w:rPr>
          <w:rFonts w:ascii="Garamond" w:hAnsi="Garamond"/>
          <w:lang w:val="en-GB"/>
        </w:rPr>
        <w:t xml:space="preserve"> </w:t>
      </w:r>
      <w:r w:rsidR="00D0510E">
        <w:rPr>
          <w:rFonts w:ascii="Garamond" w:hAnsi="Garamond"/>
          <w:lang w:val="en-GB"/>
        </w:rPr>
        <w:t>August</w:t>
      </w:r>
      <w:r w:rsidR="006C6D0A" w:rsidRPr="000D22ED">
        <w:rPr>
          <w:rFonts w:ascii="Garamond" w:hAnsi="Garamond"/>
          <w:lang w:val="en-GB"/>
        </w:rPr>
        <w:t xml:space="preserve"> 201</w:t>
      </w:r>
      <w:r w:rsidR="00D0510E">
        <w:rPr>
          <w:rFonts w:ascii="Garamond" w:hAnsi="Garamond"/>
          <w:lang w:val="en-GB"/>
        </w:rPr>
        <w:t>8</w:t>
      </w:r>
      <w:r w:rsidR="006C6D0A" w:rsidRPr="000D22ED">
        <w:rPr>
          <w:rFonts w:ascii="Garamond" w:hAnsi="Garamond"/>
          <w:lang w:val="en-GB"/>
        </w:rPr>
        <w:t xml:space="preserve"> in </w:t>
      </w:r>
      <w:r w:rsidR="00D0510E">
        <w:rPr>
          <w:rFonts w:ascii="Garamond" w:hAnsi="Garamond"/>
          <w:lang w:val="en-GB"/>
        </w:rPr>
        <w:t>Mariehamn</w:t>
      </w:r>
      <w:r w:rsidRPr="000D22ED">
        <w:rPr>
          <w:rFonts w:ascii="Garamond" w:hAnsi="Garamond"/>
          <w:lang w:val="en-GB"/>
        </w:rPr>
        <w:t xml:space="preserve">, </w:t>
      </w:r>
      <w:proofErr w:type="spellStart"/>
      <w:r w:rsidR="008C48D5" w:rsidRPr="00F02039">
        <w:rPr>
          <w:rFonts w:ascii="Garamond" w:eastAsia="Cambria" w:hAnsi="Garamond" w:cs="Times New Roman"/>
          <w:lang w:val="en-GB"/>
        </w:rPr>
        <w:t>Å</w:t>
      </w:r>
      <w:r w:rsidR="00D0510E">
        <w:rPr>
          <w:rFonts w:ascii="Garamond" w:hAnsi="Garamond"/>
          <w:lang w:val="en-GB"/>
        </w:rPr>
        <w:t>land</w:t>
      </w:r>
      <w:proofErr w:type="spellEnd"/>
      <w:r w:rsidR="00D0510E">
        <w:rPr>
          <w:rFonts w:ascii="Garamond" w:hAnsi="Garamond"/>
          <w:lang w:val="en-GB"/>
        </w:rPr>
        <w:t xml:space="preserve"> Islands/Finland</w:t>
      </w:r>
      <w:r w:rsidRPr="000D22ED">
        <w:rPr>
          <w:rFonts w:ascii="Garamond" w:hAnsi="Garamond"/>
          <w:lang w:val="en-GB"/>
        </w:rPr>
        <w:t xml:space="preserve">, the BSPC General Secretariat asked the BSPC delegations to </w:t>
      </w:r>
      <w:r w:rsidR="006C6D0A" w:rsidRPr="000D22ED">
        <w:rPr>
          <w:rFonts w:ascii="Garamond" w:hAnsi="Garamond"/>
          <w:lang w:val="en-GB"/>
        </w:rPr>
        <w:t xml:space="preserve">request </w:t>
      </w:r>
      <w:r w:rsidRPr="000D22ED">
        <w:rPr>
          <w:rFonts w:ascii="Garamond" w:hAnsi="Garamond"/>
          <w:lang w:val="en-GB"/>
        </w:rPr>
        <w:t xml:space="preserve">their respective governments </w:t>
      </w:r>
      <w:r w:rsidR="006C6D0A" w:rsidRPr="000D22ED">
        <w:rPr>
          <w:rFonts w:ascii="Garamond" w:hAnsi="Garamond"/>
          <w:lang w:val="en-GB"/>
        </w:rPr>
        <w:t>to submit a statement regarding</w:t>
      </w:r>
      <w:r w:rsidRPr="000D22ED">
        <w:rPr>
          <w:rFonts w:ascii="Garamond" w:hAnsi="Garamond"/>
          <w:lang w:val="en-GB"/>
        </w:rPr>
        <w:t xml:space="preserve"> the implementation of the 2</w:t>
      </w:r>
      <w:r w:rsidR="00D0510E">
        <w:rPr>
          <w:rFonts w:ascii="Garamond" w:hAnsi="Garamond"/>
          <w:lang w:val="en-GB"/>
        </w:rPr>
        <w:t>6</w:t>
      </w:r>
      <w:r w:rsidRPr="000D22ED">
        <w:rPr>
          <w:rFonts w:ascii="Garamond" w:hAnsi="Garamond"/>
          <w:vertAlign w:val="superscript"/>
          <w:lang w:val="en-GB"/>
        </w:rPr>
        <w:t>th</w:t>
      </w:r>
      <w:r w:rsidRPr="000D22ED">
        <w:rPr>
          <w:rFonts w:ascii="Garamond" w:hAnsi="Garamond"/>
          <w:lang w:val="en-GB"/>
        </w:rPr>
        <w:t xml:space="preserve"> BSPC Resolution. The BSPC </w:t>
      </w:r>
      <w:r w:rsidR="004C28C5">
        <w:rPr>
          <w:rFonts w:ascii="Garamond" w:hAnsi="Garamond"/>
          <w:lang w:val="en-GB"/>
        </w:rPr>
        <w:t>Secretar</w:t>
      </w:r>
      <w:r w:rsidR="00BC61DB">
        <w:rPr>
          <w:rFonts w:ascii="Garamond" w:hAnsi="Garamond"/>
          <w:lang w:val="en-GB"/>
        </w:rPr>
        <w:t>y</w:t>
      </w:r>
      <w:r w:rsidR="004C28C5" w:rsidRPr="000D22ED">
        <w:rPr>
          <w:rFonts w:ascii="Garamond" w:hAnsi="Garamond"/>
          <w:lang w:val="en-GB"/>
        </w:rPr>
        <w:t xml:space="preserve"> </w:t>
      </w:r>
      <w:r w:rsidRPr="000D22ED">
        <w:rPr>
          <w:rFonts w:ascii="Garamond" w:hAnsi="Garamond"/>
          <w:lang w:val="en-GB"/>
        </w:rPr>
        <w:t xml:space="preserve">General commissioned </w:t>
      </w:r>
      <w:proofErr w:type="spellStart"/>
      <w:r w:rsidR="006C6D0A" w:rsidRPr="000D22ED">
        <w:rPr>
          <w:rFonts w:ascii="Garamond" w:hAnsi="Garamond"/>
          <w:lang w:val="en-GB"/>
        </w:rPr>
        <w:t>Dr.</w:t>
      </w:r>
      <w:proofErr w:type="spellEnd"/>
      <w:r w:rsidR="006C6D0A" w:rsidRPr="000D22ED">
        <w:rPr>
          <w:rFonts w:ascii="Garamond" w:hAnsi="Garamond"/>
          <w:lang w:val="en-GB"/>
        </w:rPr>
        <w:t xml:space="preserve"> Tobias</w:t>
      </w:r>
      <w:r w:rsidRPr="000D22ED">
        <w:rPr>
          <w:rFonts w:ascii="Garamond" w:hAnsi="Garamond"/>
          <w:lang w:val="en-GB"/>
        </w:rPr>
        <w:t xml:space="preserve"> </w:t>
      </w:r>
      <w:proofErr w:type="spellStart"/>
      <w:r w:rsidR="006C6D0A" w:rsidRPr="000D22ED">
        <w:rPr>
          <w:rFonts w:ascii="Garamond" w:hAnsi="Garamond"/>
          <w:lang w:val="en-GB"/>
        </w:rPr>
        <w:t>Etzold</w:t>
      </w:r>
      <w:proofErr w:type="spellEnd"/>
      <w:r w:rsidR="006C6D0A" w:rsidRPr="000D22ED">
        <w:rPr>
          <w:rFonts w:ascii="Garamond" w:hAnsi="Garamond"/>
          <w:lang w:val="en-GB"/>
        </w:rPr>
        <w:t xml:space="preserve"> and Christian Opitz at the Stiftung </w:t>
      </w:r>
      <w:proofErr w:type="spellStart"/>
      <w:r w:rsidR="006C6D0A" w:rsidRPr="000D22ED">
        <w:rPr>
          <w:rFonts w:ascii="Garamond" w:hAnsi="Garamond"/>
          <w:lang w:val="en-GB"/>
        </w:rPr>
        <w:t>Wissenschaft</w:t>
      </w:r>
      <w:proofErr w:type="spellEnd"/>
      <w:r w:rsidR="006C6D0A" w:rsidRPr="000D22ED">
        <w:rPr>
          <w:rFonts w:ascii="Garamond" w:hAnsi="Garamond"/>
          <w:lang w:val="en-GB"/>
        </w:rPr>
        <w:t xml:space="preserve"> und </w:t>
      </w:r>
      <w:proofErr w:type="spellStart"/>
      <w:r w:rsidR="006C6D0A" w:rsidRPr="000D22ED">
        <w:rPr>
          <w:rFonts w:ascii="Garamond" w:hAnsi="Garamond"/>
          <w:lang w:val="en-GB"/>
        </w:rPr>
        <w:t>Politik</w:t>
      </w:r>
      <w:proofErr w:type="spellEnd"/>
      <w:r w:rsidR="006C6D0A" w:rsidRPr="000D22ED">
        <w:rPr>
          <w:rFonts w:ascii="Garamond" w:hAnsi="Garamond"/>
          <w:lang w:val="en-GB"/>
        </w:rPr>
        <w:t xml:space="preserve"> (SWP) in Berlin </w:t>
      </w:r>
      <w:r w:rsidRPr="000D22ED">
        <w:rPr>
          <w:rFonts w:ascii="Garamond" w:hAnsi="Garamond"/>
          <w:lang w:val="en-GB"/>
        </w:rPr>
        <w:t xml:space="preserve">to </w:t>
      </w:r>
      <w:r w:rsidR="004B5305">
        <w:rPr>
          <w:rFonts w:ascii="Garamond" w:hAnsi="Garamond"/>
          <w:lang w:val="en-GB"/>
        </w:rPr>
        <w:t xml:space="preserve">evaluate and </w:t>
      </w:r>
      <w:r w:rsidR="004B5305" w:rsidRPr="000D22ED">
        <w:rPr>
          <w:rFonts w:ascii="Garamond" w:hAnsi="Garamond"/>
          <w:lang w:val="en-GB"/>
        </w:rPr>
        <w:t>analys</w:t>
      </w:r>
      <w:r w:rsidR="004B5305">
        <w:rPr>
          <w:rFonts w:ascii="Garamond" w:hAnsi="Garamond"/>
          <w:lang w:val="en-GB"/>
        </w:rPr>
        <w:t>e</w:t>
      </w:r>
      <w:r w:rsidR="004B5305" w:rsidRPr="000D22ED">
        <w:rPr>
          <w:rFonts w:ascii="Garamond" w:hAnsi="Garamond"/>
          <w:lang w:val="en-GB"/>
        </w:rPr>
        <w:t xml:space="preserve"> </w:t>
      </w:r>
      <w:r w:rsidRPr="000D22ED">
        <w:rPr>
          <w:rFonts w:ascii="Garamond" w:hAnsi="Garamond"/>
          <w:lang w:val="en-GB"/>
        </w:rPr>
        <w:t xml:space="preserve">the </w:t>
      </w:r>
      <w:r w:rsidR="006C6D0A" w:rsidRPr="000D22ED">
        <w:rPr>
          <w:rFonts w:ascii="Garamond" w:hAnsi="Garamond"/>
          <w:lang w:val="en-GB"/>
        </w:rPr>
        <w:t>statements</w:t>
      </w:r>
      <w:r w:rsidRPr="000D22ED">
        <w:rPr>
          <w:rFonts w:ascii="Garamond" w:hAnsi="Garamond"/>
          <w:lang w:val="en-GB"/>
        </w:rPr>
        <w:t xml:space="preserve"> submitted by the respective governmental bodies of the Baltic Sea Region states.</w:t>
      </w:r>
    </w:p>
    <w:p w:rsidR="000D22ED" w:rsidRPr="000D22ED" w:rsidRDefault="000D22ED" w:rsidP="008C48D5">
      <w:pPr>
        <w:spacing w:line="280" w:lineRule="exact"/>
        <w:jc w:val="both"/>
        <w:rPr>
          <w:rFonts w:ascii="Garamond" w:hAnsi="Garamond"/>
          <w:lang w:val="en-GB"/>
        </w:rPr>
      </w:pPr>
    </w:p>
    <w:p w:rsidR="00536E9F" w:rsidRPr="003F3C31" w:rsidRDefault="00536E9F" w:rsidP="008C48D5">
      <w:pPr>
        <w:spacing w:line="280" w:lineRule="exact"/>
        <w:jc w:val="both"/>
        <w:rPr>
          <w:rFonts w:ascii="Garamond" w:hAnsi="Garamond"/>
          <w:sz w:val="22"/>
          <w:lang w:val="en-GB"/>
        </w:rPr>
      </w:pPr>
    </w:p>
    <w:p w:rsidR="00536E9F" w:rsidRPr="00446CCD" w:rsidRDefault="00536E9F" w:rsidP="008C48D5">
      <w:pPr>
        <w:pStyle w:val="Listenabsatz"/>
        <w:numPr>
          <w:ilvl w:val="0"/>
          <w:numId w:val="9"/>
        </w:numPr>
        <w:spacing w:line="280" w:lineRule="exact"/>
        <w:jc w:val="both"/>
        <w:rPr>
          <w:rFonts w:ascii="Garamond" w:hAnsi="Garamond"/>
          <w:b/>
          <w:sz w:val="26"/>
          <w:szCs w:val="26"/>
          <w:lang w:val="en-GB"/>
        </w:rPr>
      </w:pPr>
      <w:r w:rsidRPr="00446CCD">
        <w:rPr>
          <w:rFonts w:ascii="Garamond" w:hAnsi="Garamond"/>
          <w:b/>
          <w:sz w:val="26"/>
          <w:szCs w:val="26"/>
          <w:lang w:val="en-GB"/>
        </w:rPr>
        <w:t xml:space="preserve">Content of this analysis and basic data </w:t>
      </w:r>
      <w:bookmarkStart w:id="0" w:name="_GoBack"/>
      <w:bookmarkEnd w:id="0"/>
    </w:p>
    <w:p w:rsidR="00536E9F" w:rsidRPr="003F3C31" w:rsidRDefault="00536E9F" w:rsidP="008C48D5">
      <w:pPr>
        <w:spacing w:line="280" w:lineRule="exact"/>
        <w:jc w:val="both"/>
        <w:rPr>
          <w:rFonts w:ascii="Garamond" w:hAnsi="Garamond"/>
          <w:sz w:val="22"/>
          <w:lang w:val="en-GB"/>
        </w:rPr>
      </w:pPr>
    </w:p>
    <w:p w:rsidR="00536E9F" w:rsidRPr="000D22ED" w:rsidRDefault="00536E9F" w:rsidP="008C48D5">
      <w:pPr>
        <w:spacing w:line="280" w:lineRule="exact"/>
        <w:jc w:val="both"/>
        <w:rPr>
          <w:rFonts w:ascii="Garamond" w:hAnsi="Garamond"/>
          <w:lang w:val="en-GB"/>
        </w:rPr>
      </w:pPr>
      <w:r w:rsidRPr="000D22ED">
        <w:rPr>
          <w:rFonts w:ascii="Garamond" w:hAnsi="Garamond"/>
          <w:lang w:val="en-GB"/>
        </w:rPr>
        <w:t>This analysis includes:</w:t>
      </w:r>
    </w:p>
    <w:p w:rsidR="00536E9F" w:rsidRPr="000D22ED" w:rsidRDefault="00536E9F" w:rsidP="008C48D5">
      <w:pPr>
        <w:pStyle w:val="Listenabsatz"/>
        <w:numPr>
          <w:ilvl w:val="0"/>
          <w:numId w:val="2"/>
        </w:numPr>
        <w:spacing w:line="280" w:lineRule="exact"/>
        <w:jc w:val="both"/>
        <w:rPr>
          <w:rFonts w:ascii="Garamond" w:hAnsi="Garamond"/>
          <w:lang w:val="en-GB"/>
        </w:rPr>
      </w:pPr>
      <w:r w:rsidRPr="000D22ED">
        <w:rPr>
          <w:rFonts w:ascii="Garamond" w:hAnsi="Garamond"/>
          <w:lang w:val="en-GB"/>
        </w:rPr>
        <w:t xml:space="preserve">an overall quantitative assessment of the governments’ </w:t>
      </w:r>
      <w:r w:rsidR="007A2FE3">
        <w:rPr>
          <w:rFonts w:ascii="Garamond" w:hAnsi="Garamond"/>
          <w:lang w:val="en-GB"/>
        </w:rPr>
        <w:t>statements</w:t>
      </w:r>
      <w:r w:rsidR="0085060C">
        <w:rPr>
          <w:rFonts w:ascii="Garamond" w:hAnsi="Garamond"/>
          <w:lang w:val="en-GB"/>
        </w:rPr>
        <w:t>;</w:t>
      </w:r>
    </w:p>
    <w:p w:rsidR="00536E9F" w:rsidRPr="000D22ED" w:rsidRDefault="00536E9F" w:rsidP="008C48D5">
      <w:pPr>
        <w:pStyle w:val="Listenabsatz"/>
        <w:numPr>
          <w:ilvl w:val="0"/>
          <w:numId w:val="2"/>
        </w:numPr>
        <w:spacing w:line="280" w:lineRule="exact"/>
        <w:jc w:val="both"/>
        <w:rPr>
          <w:rFonts w:ascii="Garamond" w:hAnsi="Garamond"/>
          <w:lang w:val="en-GB"/>
        </w:rPr>
      </w:pPr>
      <w:r w:rsidRPr="000D22ED">
        <w:rPr>
          <w:rFonts w:ascii="Garamond" w:hAnsi="Garamond"/>
          <w:lang w:val="en-GB"/>
        </w:rPr>
        <w:t xml:space="preserve">a qualitative analysis regarding the governments’ </w:t>
      </w:r>
      <w:r w:rsidR="006C6D0A" w:rsidRPr="000D22ED">
        <w:rPr>
          <w:rFonts w:ascii="Garamond" w:hAnsi="Garamond"/>
          <w:lang w:val="en-GB"/>
        </w:rPr>
        <w:t>statements</w:t>
      </w:r>
      <w:r w:rsidRPr="000D22ED">
        <w:rPr>
          <w:rFonts w:ascii="Garamond" w:hAnsi="Garamond"/>
          <w:lang w:val="en-GB"/>
        </w:rPr>
        <w:t xml:space="preserve"> </w:t>
      </w:r>
      <w:r w:rsidR="006C6D0A" w:rsidRPr="000D22ED">
        <w:rPr>
          <w:rFonts w:ascii="Garamond" w:hAnsi="Garamond"/>
          <w:lang w:val="en-GB"/>
        </w:rPr>
        <w:t>regarding</w:t>
      </w:r>
      <w:r w:rsidRPr="000D22ED">
        <w:rPr>
          <w:rFonts w:ascii="Garamond" w:hAnsi="Garamond"/>
          <w:lang w:val="en-GB"/>
        </w:rPr>
        <w:t xml:space="preserve"> the </w:t>
      </w:r>
      <w:r w:rsidR="00F378AC">
        <w:rPr>
          <w:rFonts w:ascii="Garamond" w:hAnsi="Garamond"/>
          <w:lang w:val="en-GB"/>
        </w:rPr>
        <w:t>mor</w:t>
      </w:r>
      <w:r w:rsidR="00CC5855">
        <w:rPr>
          <w:rFonts w:ascii="Garamond" w:hAnsi="Garamond"/>
          <w:lang w:val="en-GB"/>
        </w:rPr>
        <w:t>e</w:t>
      </w:r>
      <w:r w:rsidR="00F378AC">
        <w:rPr>
          <w:rFonts w:ascii="Garamond" w:hAnsi="Garamond"/>
          <w:lang w:val="en-GB"/>
        </w:rPr>
        <w:t xml:space="preserve"> general section on regional cooperation as well as the three</w:t>
      </w:r>
      <w:r w:rsidR="006C6D0A" w:rsidRPr="000D22ED">
        <w:rPr>
          <w:rFonts w:ascii="Garamond" w:hAnsi="Garamond"/>
          <w:lang w:val="en-GB"/>
        </w:rPr>
        <w:t xml:space="preserve"> priority areas</w:t>
      </w:r>
      <w:r w:rsidR="0085060C">
        <w:rPr>
          <w:rFonts w:ascii="Garamond" w:hAnsi="Garamond"/>
          <w:lang w:val="en-GB"/>
        </w:rPr>
        <w:t>;</w:t>
      </w:r>
    </w:p>
    <w:p w:rsidR="00536E9F" w:rsidRPr="000D22ED" w:rsidRDefault="0085060C" w:rsidP="008C48D5">
      <w:pPr>
        <w:pStyle w:val="Listenabsatz"/>
        <w:numPr>
          <w:ilvl w:val="0"/>
          <w:numId w:val="2"/>
        </w:numPr>
        <w:spacing w:line="280" w:lineRule="exact"/>
        <w:jc w:val="both"/>
        <w:rPr>
          <w:rFonts w:ascii="Garamond" w:hAnsi="Garamond"/>
          <w:lang w:val="en-GB"/>
        </w:rPr>
      </w:pPr>
      <w:r>
        <w:rPr>
          <w:rFonts w:ascii="Garamond" w:hAnsi="Garamond"/>
          <w:lang w:val="en-GB"/>
        </w:rPr>
        <w:t xml:space="preserve">and </w:t>
      </w:r>
      <w:r w:rsidR="00536E9F" w:rsidRPr="000D22ED">
        <w:rPr>
          <w:rFonts w:ascii="Garamond" w:hAnsi="Garamond"/>
          <w:lang w:val="en-GB"/>
        </w:rPr>
        <w:t>an overall assessment</w:t>
      </w:r>
      <w:r w:rsidR="006C6D0A" w:rsidRPr="000D22ED">
        <w:rPr>
          <w:rFonts w:ascii="Garamond" w:hAnsi="Garamond"/>
          <w:lang w:val="en-GB"/>
        </w:rPr>
        <w:t xml:space="preserve"> highlighting shortcomings and identifying recommendations for the future</w:t>
      </w:r>
      <w:r>
        <w:rPr>
          <w:rFonts w:ascii="Garamond" w:hAnsi="Garamond"/>
          <w:lang w:val="en-GB"/>
        </w:rPr>
        <w:t>.</w:t>
      </w:r>
    </w:p>
    <w:p w:rsidR="00536E9F" w:rsidRPr="000D22ED" w:rsidRDefault="00536E9F" w:rsidP="008C48D5">
      <w:pPr>
        <w:spacing w:line="280" w:lineRule="exact"/>
        <w:jc w:val="both"/>
        <w:rPr>
          <w:rFonts w:ascii="Garamond" w:hAnsi="Garamond"/>
          <w:lang w:val="en-GB"/>
        </w:rPr>
      </w:pPr>
    </w:p>
    <w:p w:rsidR="00536E9F" w:rsidRPr="000D22ED" w:rsidRDefault="00536E9F" w:rsidP="008C48D5">
      <w:pPr>
        <w:spacing w:line="280" w:lineRule="exact"/>
        <w:jc w:val="both"/>
        <w:rPr>
          <w:rFonts w:ascii="Garamond" w:hAnsi="Garamond"/>
          <w:lang w:val="en-GB"/>
        </w:rPr>
      </w:pPr>
      <w:r w:rsidRPr="000D22ED">
        <w:rPr>
          <w:rFonts w:ascii="Garamond" w:hAnsi="Garamond"/>
          <w:lang w:val="en-GB"/>
        </w:rPr>
        <w:t xml:space="preserve">Basic data: </w:t>
      </w:r>
    </w:p>
    <w:p w:rsidR="004A52BA" w:rsidRPr="000D22ED" w:rsidRDefault="0085060C" w:rsidP="008C48D5">
      <w:pPr>
        <w:pStyle w:val="Listenabsatz"/>
        <w:numPr>
          <w:ilvl w:val="0"/>
          <w:numId w:val="3"/>
        </w:numPr>
        <w:spacing w:line="280" w:lineRule="exact"/>
        <w:jc w:val="both"/>
        <w:rPr>
          <w:rFonts w:ascii="Garamond" w:hAnsi="Garamond"/>
          <w:lang w:val="en-GB"/>
        </w:rPr>
      </w:pPr>
      <w:r>
        <w:rPr>
          <w:rFonts w:ascii="Garamond" w:hAnsi="Garamond"/>
          <w:lang w:val="en-GB"/>
        </w:rPr>
        <w:t xml:space="preserve">the </w:t>
      </w:r>
      <w:r w:rsidR="00536E9F" w:rsidRPr="000D22ED">
        <w:rPr>
          <w:rFonts w:ascii="Garamond" w:hAnsi="Garamond"/>
          <w:lang w:val="en-GB"/>
        </w:rPr>
        <w:t>2</w:t>
      </w:r>
      <w:r w:rsidR="00D0510E">
        <w:rPr>
          <w:rFonts w:ascii="Garamond" w:hAnsi="Garamond"/>
          <w:lang w:val="en-GB"/>
        </w:rPr>
        <w:t>6</w:t>
      </w:r>
      <w:r w:rsidR="00536E9F" w:rsidRPr="000D22ED">
        <w:rPr>
          <w:rFonts w:ascii="Garamond" w:hAnsi="Garamond"/>
          <w:vertAlign w:val="superscript"/>
          <w:lang w:val="en-GB"/>
        </w:rPr>
        <w:t>th</w:t>
      </w:r>
      <w:r w:rsidR="00536E9F" w:rsidRPr="000D22ED">
        <w:rPr>
          <w:rFonts w:ascii="Garamond" w:hAnsi="Garamond"/>
          <w:lang w:val="en-GB"/>
        </w:rPr>
        <w:t xml:space="preserve"> BSPC Resolution,</w:t>
      </w:r>
    </w:p>
    <w:p w:rsidR="00536E9F" w:rsidRPr="000D22ED" w:rsidRDefault="00536E9F" w:rsidP="008C48D5">
      <w:pPr>
        <w:pStyle w:val="Listenabsatz"/>
        <w:numPr>
          <w:ilvl w:val="0"/>
          <w:numId w:val="3"/>
        </w:numPr>
        <w:spacing w:line="280" w:lineRule="exact"/>
        <w:jc w:val="both"/>
        <w:rPr>
          <w:rFonts w:ascii="Garamond" w:hAnsi="Garamond"/>
          <w:lang w:val="en-GB"/>
        </w:rPr>
      </w:pPr>
      <w:r w:rsidRPr="000D22ED">
        <w:rPr>
          <w:rFonts w:ascii="Garamond" w:hAnsi="Garamond"/>
          <w:lang w:val="en-GB"/>
        </w:rPr>
        <w:t xml:space="preserve">written </w:t>
      </w:r>
      <w:r w:rsidR="0085060C">
        <w:rPr>
          <w:rFonts w:ascii="Garamond" w:hAnsi="Garamond"/>
          <w:lang w:val="en-GB"/>
        </w:rPr>
        <w:t>statements</w:t>
      </w:r>
      <w:r w:rsidR="0085060C" w:rsidRPr="000D22ED">
        <w:rPr>
          <w:rFonts w:ascii="Garamond" w:hAnsi="Garamond"/>
          <w:lang w:val="en-GB"/>
        </w:rPr>
        <w:t xml:space="preserve"> </w:t>
      </w:r>
      <w:r w:rsidRPr="000D22ED">
        <w:rPr>
          <w:rFonts w:ascii="Garamond" w:hAnsi="Garamond"/>
          <w:lang w:val="en-GB"/>
        </w:rPr>
        <w:t xml:space="preserve">by the respective governmental bodies received </w:t>
      </w:r>
      <w:r w:rsidR="00F378AC">
        <w:rPr>
          <w:rFonts w:ascii="Garamond" w:hAnsi="Garamond"/>
          <w:lang w:val="en-GB"/>
        </w:rPr>
        <w:t>by</w:t>
      </w:r>
      <w:r w:rsidRPr="000D22ED">
        <w:rPr>
          <w:rFonts w:ascii="Garamond" w:hAnsi="Garamond"/>
          <w:lang w:val="en-GB"/>
        </w:rPr>
        <w:t xml:space="preserve"> </w:t>
      </w:r>
      <w:r w:rsidR="00155DB7">
        <w:rPr>
          <w:rFonts w:ascii="Garamond" w:hAnsi="Garamond"/>
          <w:lang w:val="en-GB"/>
        </w:rPr>
        <w:t xml:space="preserve">the </w:t>
      </w:r>
      <w:r w:rsidR="00DB3308">
        <w:rPr>
          <w:rFonts w:ascii="Garamond" w:hAnsi="Garamond"/>
          <w:lang w:val="en-GB"/>
        </w:rPr>
        <w:t>beginning</w:t>
      </w:r>
      <w:r w:rsidR="00CC5855">
        <w:rPr>
          <w:rFonts w:ascii="Garamond" w:hAnsi="Garamond"/>
          <w:lang w:val="en-GB"/>
        </w:rPr>
        <w:t xml:space="preserve"> of</w:t>
      </w:r>
      <w:r w:rsidR="00F378AC">
        <w:rPr>
          <w:rFonts w:ascii="Garamond" w:hAnsi="Garamond"/>
          <w:lang w:val="en-GB"/>
        </w:rPr>
        <w:t xml:space="preserve"> </w:t>
      </w:r>
      <w:r w:rsidR="00DB3308">
        <w:rPr>
          <w:rFonts w:ascii="Garamond" w:hAnsi="Garamond"/>
          <w:lang w:val="en-GB"/>
        </w:rPr>
        <w:t>August</w:t>
      </w:r>
      <w:r w:rsidR="00D0510E">
        <w:rPr>
          <w:rFonts w:ascii="Garamond" w:hAnsi="Garamond"/>
          <w:lang w:val="en-GB"/>
        </w:rPr>
        <w:t xml:space="preserve"> 2018</w:t>
      </w:r>
      <w:r w:rsidRPr="000D22ED">
        <w:rPr>
          <w:rFonts w:ascii="Garamond" w:hAnsi="Garamond"/>
          <w:lang w:val="en-GB"/>
        </w:rPr>
        <w:t>.</w:t>
      </w:r>
    </w:p>
    <w:p w:rsidR="00536E9F" w:rsidRDefault="00536E9F" w:rsidP="008C48D5">
      <w:pPr>
        <w:spacing w:line="280" w:lineRule="exact"/>
        <w:jc w:val="both"/>
        <w:rPr>
          <w:rFonts w:ascii="Garamond" w:hAnsi="Garamond"/>
          <w:sz w:val="22"/>
          <w:lang w:val="en-GB"/>
        </w:rPr>
      </w:pPr>
    </w:p>
    <w:p w:rsidR="00536E9F" w:rsidRDefault="00536E9F" w:rsidP="008C48D5">
      <w:pPr>
        <w:spacing w:line="280" w:lineRule="exact"/>
        <w:jc w:val="both"/>
        <w:rPr>
          <w:rFonts w:ascii="Garamond" w:hAnsi="Garamond"/>
          <w:sz w:val="22"/>
          <w:lang w:val="en-GB"/>
        </w:rPr>
      </w:pPr>
    </w:p>
    <w:p w:rsidR="00536E9F" w:rsidRDefault="00536E9F" w:rsidP="008C48D5">
      <w:pPr>
        <w:spacing w:line="280" w:lineRule="exact"/>
        <w:jc w:val="both"/>
        <w:rPr>
          <w:rFonts w:ascii="Garamond" w:hAnsi="Garamond"/>
          <w:sz w:val="22"/>
          <w:lang w:val="en-GB"/>
        </w:rPr>
      </w:pPr>
    </w:p>
    <w:p w:rsidR="00536E9F" w:rsidRDefault="00536E9F" w:rsidP="008C48D5">
      <w:pPr>
        <w:spacing w:line="280" w:lineRule="exact"/>
        <w:jc w:val="both"/>
        <w:rPr>
          <w:rFonts w:ascii="Garamond" w:hAnsi="Garamond"/>
          <w:sz w:val="22"/>
          <w:lang w:val="en-GB"/>
        </w:rPr>
      </w:pPr>
    </w:p>
    <w:p w:rsidR="00536E9F" w:rsidRDefault="00536E9F" w:rsidP="008C48D5">
      <w:pPr>
        <w:spacing w:line="280" w:lineRule="exact"/>
        <w:jc w:val="both"/>
        <w:rPr>
          <w:rFonts w:ascii="Garamond" w:hAnsi="Garamond"/>
          <w:sz w:val="22"/>
          <w:lang w:val="en-GB"/>
        </w:rPr>
      </w:pPr>
    </w:p>
    <w:p w:rsidR="00536E9F" w:rsidRDefault="00536E9F" w:rsidP="008C48D5">
      <w:pPr>
        <w:spacing w:line="280" w:lineRule="exact"/>
        <w:jc w:val="both"/>
        <w:rPr>
          <w:rFonts w:ascii="Garamond" w:hAnsi="Garamond"/>
          <w:sz w:val="22"/>
          <w:lang w:val="en-GB"/>
        </w:rPr>
      </w:pPr>
    </w:p>
    <w:p w:rsidR="00536E9F" w:rsidRDefault="00536E9F" w:rsidP="008C48D5">
      <w:pPr>
        <w:spacing w:line="280" w:lineRule="exact"/>
        <w:jc w:val="both"/>
        <w:rPr>
          <w:rFonts w:ascii="Garamond" w:hAnsi="Garamond"/>
          <w:sz w:val="22"/>
          <w:lang w:val="en-GB"/>
        </w:rPr>
      </w:pPr>
    </w:p>
    <w:p w:rsidR="0074539C" w:rsidRDefault="0074539C" w:rsidP="008C48D5">
      <w:pPr>
        <w:spacing w:after="160" w:line="259" w:lineRule="auto"/>
        <w:jc w:val="both"/>
        <w:rPr>
          <w:rFonts w:ascii="Garamond" w:hAnsi="Garamond"/>
          <w:sz w:val="22"/>
          <w:lang w:val="en-GB"/>
        </w:rPr>
      </w:pPr>
      <w:r>
        <w:rPr>
          <w:rFonts w:ascii="Garamond" w:hAnsi="Garamond"/>
          <w:sz w:val="22"/>
          <w:lang w:val="en-GB"/>
        </w:rPr>
        <w:br w:type="page"/>
      </w:r>
    </w:p>
    <w:p w:rsidR="005A521D" w:rsidRPr="00446CCD" w:rsidRDefault="005A38EF" w:rsidP="008C48D5">
      <w:pPr>
        <w:pStyle w:val="Listenabsatz"/>
        <w:numPr>
          <w:ilvl w:val="0"/>
          <w:numId w:val="9"/>
        </w:numPr>
        <w:spacing w:line="280" w:lineRule="exact"/>
        <w:jc w:val="both"/>
        <w:rPr>
          <w:rFonts w:ascii="Garamond" w:hAnsi="Garamond"/>
          <w:b/>
          <w:sz w:val="28"/>
          <w:szCs w:val="28"/>
          <w:lang w:val="en-GB"/>
        </w:rPr>
      </w:pPr>
      <w:r w:rsidRPr="00446CCD">
        <w:rPr>
          <w:rFonts w:ascii="Garamond" w:hAnsi="Garamond"/>
          <w:b/>
          <w:sz w:val="28"/>
          <w:szCs w:val="28"/>
          <w:lang w:val="en-GB"/>
        </w:rPr>
        <w:lastRenderedPageBreak/>
        <w:t>Quantitative Overview</w:t>
      </w:r>
    </w:p>
    <w:p w:rsidR="005A521D" w:rsidRDefault="005A521D" w:rsidP="008C48D5">
      <w:pPr>
        <w:spacing w:line="280" w:lineRule="exact"/>
        <w:jc w:val="both"/>
        <w:rPr>
          <w:rFonts w:ascii="Garamond" w:hAnsi="Garamond"/>
          <w:sz w:val="22"/>
          <w:lang w:val="en-GB"/>
        </w:rPr>
      </w:pPr>
    </w:p>
    <w:p w:rsidR="00446CCD" w:rsidRPr="003F3C31" w:rsidRDefault="00446CCD" w:rsidP="008C48D5">
      <w:pPr>
        <w:spacing w:line="280" w:lineRule="exact"/>
        <w:jc w:val="both"/>
        <w:rPr>
          <w:rFonts w:ascii="Garamond" w:hAnsi="Garamond"/>
          <w:sz w:val="22"/>
          <w:lang w:val="en-GB"/>
        </w:rPr>
      </w:pPr>
    </w:p>
    <w:p w:rsidR="005A521D" w:rsidRPr="001B4306" w:rsidRDefault="005A521D" w:rsidP="008C48D5">
      <w:pPr>
        <w:pStyle w:val="Listenabsatz"/>
        <w:numPr>
          <w:ilvl w:val="1"/>
          <w:numId w:val="9"/>
        </w:numPr>
        <w:spacing w:line="280" w:lineRule="exact"/>
        <w:ind w:right="284"/>
        <w:jc w:val="both"/>
        <w:rPr>
          <w:rFonts w:ascii="Garamond" w:hAnsi="Garamond"/>
          <w:b/>
          <w:sz w:val="26"/>
          <w:szCs w:val="26"/>
          <w:lang w:val="en-GB"/>
        </w:rPr>
      </w:pPr>
      <w:r w:rsidRPr="001B4306">
        <w:rPr>
          <w:rFonts w:ascii="Garamond" w:hAnsi="Garamond"/>
          <w:b/>
          <w:sz w:val="26"/>
          <w:szCs w:val="26"/>
          <w:lang w:val="en-GB"/>
        </w:rPr>
        <w:t>Overall Response Rate</w:t>
      </w:r>
    </w:p>
    <w:p w:rsidR="005A521D" w:rsidRDefault="005A521D" w:rsidP="008C48D5">
      <w:pPr>
        <w:spacing w:line="280" w:lineRule="exact"/>
        <w:jc w:val="both"/>
        <w:rPr>
          <w:rFonts w:ascii="Garamond" w:hAnsi="Garamond"/>
          <w:sz w:val="22"/>
          <w:lang w:val="en-GB"/>
        </w:rPr>
      </w:pPr>
    </w:p>
    <w:p w:rsidR="005A521D" w:rsidRPr="000D22ED" w:rsidRDefault="00D0510E" w:rsidP="008C48D5">
      <w:pPr>
        <w:spacing w:line="280" w:lineRule="exact"/>
        <w:jc w:val="both"/>
        <w:rPr>
          <w:rFonts w:ascii="Garamond" w:hAnsi="Garamond"/>
          <w:lang w:val="en-GB"/>
        </w:rPr>
      </w:pPr>
      <w:r>
        <w:rPr>
          <w:rFonts w:ascii="Garamond" w:hAnsi="Garamond"/>
          <w:lang w:val="en-GB"/>
        </w:rPr>
        <w:t>Nineteen</w:t>
      </w:r>
      <w:r w:rsidR="005A521D" w:rsidRPr="000D22ED">
        <w:rPr>
          <w:rFonts w:ascii="Garamond" w:hAnsi="Garamond"/>
          <w:lang w:val="en-GB"/>
        </w:rPr>
        <w:t xml:space="preserve"> delegations from </w:t>
      </w:r>
      <w:r w:rsidR="008028D7" w:rsidRPr="000D22ED">
        <w:rPr>
          <w:rFonts w:ascii="Garamond" w:hAnsi="Garamond"/>
          <w:lang w:val="en-GB"/>
        </w:rPr>
        <w:t xml:space="preserve">member </w:t>
      </w:r>
      <w:r w:rsidR="00CB5F45">
        <w:rPr>
          <w:rFonts w:ascii="Garamond" w:hAnsi="Garamond"/>
          <w:lang w:val="en-GB"/>
        </w:rPr>
        <w:t xml:space="preserve">states’ </w:t>
      </w:r>
      <w:r w:rsidR="005A521D" w:rsidRPr="000D22ED">
        <w:rPr>
          <w:rFonts w:ascii="Garamond" w:hAnsi="Garamond"/>
          <w:lang w:val="en-GB"/>
        </w:rPr>
        <w:t>parliaments</w:t>
      </w:r>
      <w:r w:rsidR="00EA22D4">
        <w:rPr>
          <w:rFonts w:ascii="Garamond" w:hAnsi="Garamond"/>
          <w:lang w:val="en-GB"/>
        </w:rPr>
        <w:t xml:space="preserve"> (</w:t>
      </w:r>
      <w:r w:rsidR="008D4652">
        <w:rPr>
          <w:rFonts w:ascii="Garamond" w:hAnsi="Garamond"/>
          <w:lang w:val="en-GB"/>
        </w:rPr>
        <w:t>ten</w:t>
      </w:r>
      <w:r w:rsidR="00542341">
        <w:rPr>
          <w:rFonts w:ascii="Garamond" w:hAnsi="Garamond"/>
          <w:lang w:val="en-GB"/>
        </w:rPr>
        <w:t xml:space="preserve"> </w:t>
      </w:r>
      <w:r w:rsidR="00EA22D4">
        <w:rPr>
          <w:rFonts w:ascii="Garamond" w:hAnsi="Garamond"/>
          <w:lang w:val="en-GB"/>
        </w:rPr>
        <w:t xml:space="preserve">national and </w:t>
      </w:r>
      <w:r w:rsidR="008D4652">
        <w:rPr>
          <w:rFonts w:ascii="Garamond" w:hAnsi="Garamond"/>
          <w:lang w:val="en-GB"/>
        </w:rPr>
        <w:t>nine</w:t>
      </w:r>
      <w:r w:rsidR="00FA7225">
        <w:rPr>
          <w:rFonts w:ascii="Garamond" w:hAnsi="Garamond"/>
          <w:lang w:val="en-GB"/>
        </w:rPr>
        <w:t xml:space="preserve"> </w:t>
      </w:r>
      <w:r w:rsidR="00EA22D4">
        <w:rPr>
          <w:rFonts w:ascii="Garamond" w:hAnsi="Garamond"/>
          <w:lang w:val="en-GB"/>
        </w:rPr>
        <w:t>subnational parliaments) and</w:t>
      </w:r>
      <w:r w:rsidR="008028D7" w:rsidRPr="000D22ED">
        <w:rPr>
          <w:rFonts w:ascii="Garamond" w:hAnsi="Garamond"/>
          <w:lang w:val="en-GB"/>
        </w:rPr>
        <w:t xml:space="preserve"> parliamentary institutions</w:t>
      </w:r>
      <w:r w:rsidR="00EA22D4">
        <w:rPr>
          <w:rFonts w:ascii="Garamond" w:hAnsi="Garamond"/>
          <w:lang w:val="en-GB"/>
        </w:rPr>
        <w:t xml:space="preserve"> (three)</w:t>
      </w:r>
      <w:r w:rsidR="008028D7" w:rsidRPr="000D22ED">
        <w:rPr>
          <w:rFonts w:ascii="Garamond" w:hAnsi="Garamond"/>
          <w:lang w:val="en-GB"/>
        </w:rPr>
        <w:t xml:space="preserve"> adopted the 2</w:t>
      </w:r>
      <w:r w:rsidR="00F378AC">
        <w:rPr>
          <w:rFonts w:ascii="Garamond" w:hAnsi="Garamond"/>
          <w:lang w:val="en-GB"/>
        </w:rPr>
        <w:t>6</w:t>
      </w:r>
      <w:r w:rsidR="008028D7" w:rsidRPr="000D22ED">
        <w:rPr>
          <w:rFonts w:ascii="Garamond" w:hAnsi="Garamond"/>
          <w:vertAlign w:val="superscript"/>
          <w:lang w:val="en-GB"/>
        </w:rPr>
        <w:t>th</w:t>
      </w:r>
      <w:r w:rsidR="008028D7" w:rsidRPr="000D22ED">
        <w:rPr>
          <w:rFonts w:ascii="Garamond" w:hAnsi="Garamond"/>
          <w:lang w:val="en-GB"/>
        </w:rPr>
        <w:t xml:space="preserve"> BSPC Conference Resolution. </w:t>
      </w:r>
      <w:r w:rsidR="00486E34">
        <w:rPr>
          <w:rFonts w:ascii="Garamond" w:hAnsi="Garamond"/>
          <w:lang w:val="en-GB"/>
        </w:rPr>
        <w:t>Four</w:t>
      </w:r>
      <w:r w:rsidR="00CB5F45">
        <w:rPr>
          <w:rFonts w:ascii="Garamond" w:hAnsi="Garamond"/>
          <w:lang w:val="en-GB"/>
        </w:rPr>
        <w:t>teen</w:t>
      </w:r>
      <w:r w:rsidR="00542341" w:rsidRPr="000D22ED">
        <w:rPr>
          <w:rFonts w:ascii="Garamond" w:hAnsi="Garamond"/>
          <w:lang w:val="en-GB"/>
        </w:rPr>
        <w:t xml:space="preserve"> </w:t>
      </w:r>
      <w:r w:rsidR="00DF78FF" w:rsidRPr="000D22ED">
        <w:rPr>
          <w:rFonts w:ascii="Garamond" w:hAnsi="Garamond"/>
          <w:lang w:val="en-GB"/>
        </w:rPr>
        <w:t>government</w:t>
      </w:r>
      <w:r w:rsidR="00DF78FF">
        <w:rPr>
          <w:rFonts w:ascii="Garamond" w:hAnsi="Garamond"/>
          <w:lang w:val="en-GB"/>
        </w:rPr>
        <w:t xml:space="preserve">al counterparts </w:t>
      </w:r>
      <w:r w:rsidR="005C6830" w:rsidRPr="000D22ED">
        <w:rPr>
          <w:rFonts w:ascii="Garamond" w:hAnsi="Garamond"/>
          <w:lang w:val="en-GB"/>
        </w:rPr>
        <w:t xml:space="preserve">of the </w:t>
      </w:r>
      <w:r w:rsidR="00125FA5">
        <w:rPr>
          <w:rFonts w:ascii="Garamond" w:hAnsi="Garamond"/>
          <w:lang w:val="en-GB"/>
        </w:rPr>
        <w:t>nineteen</w:t>
      </w:r>
      <w:r w:rsidR="00DE74C7" w:rsidRPr="000D22ED">
        <w:rPr>
          <w:lang w:val="en-US"/>
        </w:rPr>
        <w:t xml:space="preserve"> </w:t>
      </w:r>
      <w:r w:rsidR="00DE74C7" w:rsidRPr="000D22ED">
        <w:rPr>
          <w:rFonts w:ascii="Garamond" w:hAnsi="Garamond"/>
          <w:lang w:val="en-GB"/>
        </w:rPr>
        <w:t>signatories</w:t>
      </w:r>
      <w:r w:rsidR="00125FA5">
        <w:rPr>
          <w:rFonts w:ascii="Garamond" w:hAnsi="Garamond"/>
          <w:lang w:val="en-GB"/>
        </w:rPr>
        <w:t>,</w:t>
      </w:r>
      <w:r w:rsidR="005C6830" w:rsidRPr="000D22ED">
        <w:rPr>
          <w:rFonts w:ascii="Garamond" w:hAnsi="Garamond"/>
          <w:lang w:val="en-GB"/>
        </w:rPr>
        <w:t xml:space="preserve"> </w:t>
      </w:r>
      <w:r w:rsidR="00125FA5">
        <w:rPr>
          <w:rFonts w:ascii="Garamond" w:hAnsi="Garamond"/>
          <w:lang w:val="en-GB"/>
        </w:rPr>
        <w:t xml:space="preserve">excluding the three parliamentary institutions, </w:t>
      </w:r>
      <w:r w:rsidR="005C6830" w:rsidRPr="000D22ED">
        <w:rPr>
          <w:rFonts w:ascii="Garamond" w:hAnsi="Garamond"/>
          <w:lang w:val="en-GB"/>
        </w:rPr>
        <w:t xml:space="preserve">submitted statements to the BSPC Standing Committee regarding the implementation of the </w:t>
      </w:r>
      <w:r w:rsidR="00DE74C7" w:rsidRPr="000D22ED">
        <w:rPr>
          <w:rFonts w:ascii="Garamond" w:hAnsi="Garamond"/>
          <w:lang w:val="en-GB"/>
        </w:rPr>
        <w:t>R</w:t>
      </w:r>
      <w:r w:rsidR="005C6830" w:rsidRPr="000D22ED">
        <w:rPr>
          <w:rFonts w:ascii="Garamond" w:hAnsi="Garamond"/>
          <w:lang w:val="en-GB"/>
        </w:rPr>
        <w:t>esolution (see Fig</w:t>
      </w:r>
      <w:r w:rsidR="00125FA5">
        <w:rPr>
          <w:rFonts w:ascii="Garamond" w:hAnsi="Garamond"/>
          <w:lang w:val="en-GB"/>
        </w:rPr>
        <w:t>.</w:t>
      </w:r>
      <w:r w:rsidR="005C6830" w:rsidRPr="000D22ED">
        <w:rPr>
          <w:rFonts w:ascii="Garamond" w:hAnsi="Garamond"/>
          <w:lang w:val="en-GB"/>
        </w:rPr>
        <w:t xml:space="preserve"> 1).</w:t>
      </w:r>
      <w:r w:rsidR="0085060C">
        <w:rPr>
          <w:rStyle w:val="Funotenzeichen"/>
          <w:rFonts w:ascii="Garamond" w:hAnsi="Garamond"/>
          <w:lang w:val="en-GB"/>
        </w:rPr>
        <w:footnoteReference w:id="3"/>
      </w:r>
    </w:p>
    <w:p w:rsidR="005A521D" w:rsidRDefault="005A521D" w:rsidP="008C48D5">
      <w:pPr>
        <w:spacing w:line="280" w:lineRule="exact"/>
        <w:jc w:val="both"/>
        <w:rPr>
          <w:rFonts w:ascii="Garamond" w:hAnsi="Garamond"/>
          <w:sz w:val="22"/>
          <w:lang w:val="en-GB"/>
        </w:rPr>
      </w:pPr>
    </w:p>
    <w:p w:rsidR="005A521D" w:rsidRDefault="00DE74C7" w:rsidP="008C48D5">
      <w:pPr>
        <w:spacing w:line="280" w:lineRule="exact"/>
        <w:jc w:val="both"/>
        <w:rPr>
          <w:rFonts w:ascii="Garamond" w:hAnsi="Garamond"/>
          <w:sz w:val="22"/>
          <w:lang w:val="en-GB"/>
        </w:rPr>
      </w:pPr>
      <w:r>
        <w:rPr>
          <w:rFonts w:ascii="Garamond" w:hAnsi="Garamond"/>
          <w:noProof/>
          <w:sz w:val="22"/>
          <w:lang w:eastAsia="zh-CN"/>
        </w:rPr>
        <w:drawing>
          <wp:anchor distT="0" distB="0" distL="114300" distR="114300" simplePos="0" relativeHeight="251656704" behindDoc="1" locked="0" layoutInCell="1" allowOverlap="1">
            <wp:simplePos x="0" y="0"/>
            <wp:positionH relativeFrom="column">
              <wp:posOffset>494665</wp:posOffset>
            </wp:positionH>
            <wp:positionV relativeFrom="paragraph">
              <wp:posOffset>179705</wp:posOffset>
            </wp:positionV>
            <wp:extent cx="4777740" cy="2462530"/>
            <wp:effectExtent l="0" t="0" r="3810" b="13970"/>
            <wp:wrapTight wrapText="bothSides">
              <wp:wrapPolygon edited="0">
                <wp:start x="0" y="0"/>
                <wp:lineTo x="0" y="21555"/>
                <wp:lineTo x="21531" y="21555"/>
                <wp:lineTo x="21531" y="0"/>
                <wp:lineTo x="0" y="0"/>
              </wp:wrapPolygon>
            </wp:wrapTight>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5C6830" w:rsidRPr="003F3C31" w:rsidRDefault="005C6830" w:rsidP="008C48D5">
      <w:pPr>
        <w:spacing w:line="280" w:lineRule="exact"/>
        <w:jc w:val="both"/>
        <w:rPr>
          <w:rFonts w:ascii="Garamond" w:hAnsi="Garamond"/>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3F3C31" w:rsidRDefault="005A521D" w:rsidP="008C48D5">
      <w:pPr>
        <w:spacing w:line="280" w:lineRule="exact"/>
        <w:jc w:val="both"/>
        <w:rPr>
          <w:rFonts w:ascii="Garamond" w:hAnsi="Garamond"/>
          <w:b/>
          <w:sz w:val="22"/>
          <w:lang w:val="en-GB"/>
        </w:rPr>
      </w:pPr>
    </w:p>
    <w:p w:rsidR="005A521D" w:rsidRPr="001B4306" w:rsidRDefault="005A521D" w:rsidP="008C48D5">
      <w:pPr>
        <w:pStyle w:val="Listenabsatz"/>
        <w:numPr>
          <w:ilvl w:val="1"/>
          <w:numId w:val="9"/>
        </w:numPr>
        <w:spacing w:line="280" w:lineRule="exact"/>
        <w:jc w:val="both"/>
        <w:rPr>
          <w:rFonts w:ascii="Garamond" w:hAnsi="Garamond"/>
          <w:b/>
          <w:sz w:val="26"/>
          <w:szCs w:val="26"/>
          <w:lang w:val="en-GB"/>
        </w:rPr>
      </w:pPr>
      <w:r w:rsidRPr="001B4306">
        <w:rPr>
          <w:rFonts w:ascii="Garamond" w:hAnsi="Garamond"/>
          <w:b/>
          <w:sz w:val="26"/>
          <w:szCs w:val="26"/>
          <w:lang w:val="en-GB"/>
        </w:rPr>
        <w:t>Overall Response Variety</w:t>
      </w:r>
    </w:p>
    <w:p w:rsidR="005A521D" w:rsidRPr="001B4306" w:rsidRDefault="005A521D" w:rsidP="008C48D5">
      <w:pPr>
        <w:spacing w:line="280" w:lineRule="exact"/>
        <w:jc w:val="both"/>
        <w:rPr>
          <w:rFonts w:ascii="Garamond" w:hAnsi="Garamond"/>
          <w:sz w:val="22"/>
          <w:lang w:val="en-GB"/>
        </w:rPr>
      </w:pPr>
    </w:p>
    <w:p w:rsidR="00365433" w:rsidRDefault="002A1846" w:rsidP="008C48D5">
      <w:pPr>
        <w:spacing w:line="280" w:lineRule="exact"/>
        <w:jc w:val="both"/>
        <w:rPr>
          <w:rFonts w:ascii="Garamond" w:hAnsi="Garamond"/>
          <w:lang w:val="en-GB"/>
        </w:rPr>
      </w:pPr>
      <w:r w:rsidRPr="000D22ED">
        <w:rPr>
          <w:rFonts w:ascii="Garamond" w:hAnsi="Garamond"/>
          <w:lang w:val="en-GB"/>
        </w:rPr>
        <w:t xml:space="preserve">The </w:t>
      </w:r>
      <w:r w:rsidR="00486E34">
        <w:rPr>
          <w:rFonts w:ascii="Garamond" w:hAnsi="Garamond"/>
          <w:lang w:val="en-GB"/>
        </w:rPr>
        <w:t>fou</w:t>
      </w:r>
      <w:r w:rsidR="002B610C">
        <w:rPr>
          <w:rFonts w:ascii="Garamond" w:hAnsi="Garamond"/>
          <w:lang w:val="en-GB"/>
        </w:rPr>
        <w:t>rteen</w:t>
      </w:r>
      <w:r w:rsidRPr="000D22ED">
        <w:rPr>
          <w:rFonts w:ascii="Garamond" w:hAnsi="Garamond"/>
          <w:lang w:val="en-GB"/>
        </w:rPr>
        <w:t xml:space="preserve"> submitted statements in reaction to the 2</w:t>
      </w:r>
      <w:r w:rsidR="008D4652">
        <w:rPr>
          <w:rFonts w:ascii="Garamond" w:hAnsi="Garamond"/>
          <w:lang w:val="en-GB"/>
        </w:rPr>
        <w:t>6</w:t>
      </w:r>
      <w:r w:rsidRPr="000D22ED">
        <w:rPr>
          <w:rFonts w:ascii="Garamond" w:hAnsi="Garamond"/>
          <w:vertAlign w:val="superscript"/>
          <w:lang w:val="en-GB"/>
        </w:rPr>
        <w:t>th</w:t>
      </w:r>
      <w:r w:rsidRPr="000D22ED">
        <w:rPr>
          <w:rFonts w:ascii="Garamond" w:hAnsi="Garamond"/>
          <w:lang w:val="en-GB"/>
        </w:rPr>
        <w:t xml:space="preserve"> BSPC Resolution vary considerably concerning thematic depth and structure. Some statements</w:t>
      </w:r>
      <w:r w:rsidR="00EA22D4">
        <w:rPr>
          <w:rFonts w:ascii="Garamond" w:hAnsi="Garamond"/>
          <w:lang w:val="en-GB"/>
        </w:rPr>
        <w:t xml:space="preserve">, </w:t>
      </w:r>
      <w:r w:rsidR="00F378AC">
        <w:rPr>
          <w:rFonts w:ascii="Garamond" w:hAnsi="Garamond"/>
          <w:lang w:val="en-GB"/>
        </w:rPr>
        <w:t>i.e.</w:t>
      </w:r>
      <w:r w:rsidR="00EA22D4">
        <w:rPr>
          <w:rFonts w:ascii="Garamond" w:hAnsi="Garamond"/>
          <w:lang w:val="en-GB"/>
        </w:rPr>
        <w:t xml:space="preserve"> those from </w:t>
      </w:r>
      <w:r w:rsidR="008D4652">
        <w:rPr>
          <w:rFonts w:ascii="Garamond" w:hAnsi="Garamond"/>
          <w:lang w:val="en-GB"/>
        </w:rPr>
        <w:t>Latvia, Lithuania</w:t>
      </w:r>
      <w:r w:rsidR="00EA22D4">
        <w:rPr>
          <w:rFonts w:ascii="Garamond" w:hAnsi="Garamond"/>
          <w:lang w:val="en-GB"/>
        </w:rPr>
        <w:t>, Poland</w:t>
      </w:r>
      <w:r w:rsidR="00F378AC">
        <w:rPr>
          <w:rFonts w:ascii="Garamond" w:hAnsi="Garamond"/>
          <w:lang w:val="en-GB"/>
        </w:rPr>
        <w:t>, Hamburg</w:t>
      </w:r>
      <w:r w:rsidR="00EA22D4">
        <w:rPr>
          <w:rFonts w:ascii="Garamond" w:hAnsi="Garamond"/>
          <w:lang w:val="en-GB"/>
        </w:rPr>
        <w:t xml:space="preserve"> and Mecklenburg-Vorpommern,</w:t>
      </w:r>
      <w:r w:rsidRPr="000D22ED">
        <w:rPr>
          <w:rFonts w:ascii="Garamond" w:hAnsi="Garamond"/>
          <w:lang w:val="en-GB"/>
        </w:rPr>
        <w:t xml:space="preserve"> portray on</w:t>
      </w:r>
      <w:r w:rsidR="00F70A9F">
        <w:rPr>
          <w:rFonts w:ascii="Garamond" w:hAnsi="Garamond"/>
          <w:lang w:val="en-GB"/>
        </w:rPr>
        <w:t xml:space="preserve"> </w:t>
      </w:r>
      <w:r w:rsidR="00151C3C">
        <w:rPr>
          <w:rFonts w:ascii="Garamond" w:hAnsi="Garamond"/>
          <w:lang w:val="en-GB"/>
        </w:rPr>
        <w:t>1</w:t>
      </w:r>
      <w:r w:rsidR="00F378AC">
        <w:rPr>
          <w:rFonts w:ascii="Garamond" w:hAnsi="Garamond"/>
          <w:lang w:val="en-GB"/>
        </w:rPr>
        <w:t>0</w:t>
      </w:r>
      <w:r w:rsidR="00151C3C">
        <w:rPr>
          <w:rFonts w:ascii="Garamond" w:hAnsi="Garamond"/>
          <w:lang w:val="en-GB"/>
        </w:rPr>
        <w:t xml:space="preserve"> </w:t>
      </w:r>
      <w:r w:rsidR="00F70A9F">
        <w:rPr>
          <w:rFonts w:ascii="Garamond" w:hAnsi="Garamond"/>
          <w:lang w:val="en-GB"/>
        </w:rPr>
        <w:t>-</w:t>
      </w:r>
      <w:r w:rsidRPr="000D22ED">
        <w:rPr>
          <w:rFonts w:ascii="Garamond" w:hAnsi="Garamond"/>
          <w:lang w:val="en-GB"/>
        </w:rPr>
        <w:t xml:space="preserve"> </w:t>
      </w:r>
      <w:r w:rsidR="00F378AC">
        <w:rPr>
          <w:rFonts w:ascii="Garamond" w:hAnsi="Garamond"/>
          <w:lang w:val="en-GB"/>
        </w:rPr>
        <w:t>2</w:t>
      </w:r>
      <w:r w:rsidRPr="000D22ED">
        <w:rPr>
          <w:rFonts w:ascii="Garamond" w:hAnsi="Garamond"/>
          <w:lang w:val="en-GB"/>
        </w:rPr>
        <w:t xml:space="preserve">0 pages in great detail and </w:t>
      </w:r>
      <w:r w:rsidR="00F70A9F">
        <w:rPr>
          <w:rFonts w:ascii="Garamond" w:hAnsi="Garamond"/>
          <w:lang w:val="en-GB"/>
        </w:rPr>
        <w:t xml:space="preserve">some even </w:t>
      </w:r>
      <w:r w:rsidRPr="000D22ED">
        <w:rPr>
          <w:rFonts w:ascii="Garamond" w:hAnsi="Garamond"/>
          <w:lang w:val="en-GB"/>
        </w:rPr>
        <w:t xml:space="preserve">for </w:t>
      </w:r>
      <w:r w:rsidR="00DB3308">
        <w:rPr>
          <w:rFonts w:ascii="Garamond" w:hAnsi="Garamond"/>
          <w:lang w:val="en-GB"/>
        </w:rPr>
        <w:t xml:space="preserve">nearly </w:t>
      </w:r>
      <w:r w:rsidRPr="000D22ED">
        <w:rPr>
          <w:rFonts w:ascii="Garamond" w:hAnsi="Garamond"/>
          <w:lang w:val="en-GB"/>
        </w:rPr>
        <w:t xml:space="preserve">each paragraph of the Resolution what the respective government has done </w:t>
      </w:r>
      <w:r w:rsidR="00DE74C7" w:rsidRPr="000D22ED">
        <w:rPr>
          <w:rFonts w:ascii="Garamond" w:hAnsi="Garamond"/>
          <w:lang w:val="en-GB"/>
        </w:rPr>
        <w:t>in order to</w:t>
      </w:r>
      <w:r w:rsidRPr="000D22ED">
        <w:rPr>
          <w:rFonts w:ascii="Garamond" w:hAnsi="Garamond"/>
          <w:lang w:val="en-GB"/>
        </w:rPr>
        <w:t xml:space="preserve"> implement it. Others</w:t>
      </w:r>
      <w:r w:rsidR="00EA22D4">
        <w:rPr>
          <w:rFonts w:ascii="Garamond" w:hAnsi="Garamond"/>
          <w:lang w:val="en-GB"/>
        </w:rPr>
        <w:t xml:space="preserve">, such as </w:t>
      </w:r>
      <w:r w:rsidR="0074539C">
        <w:rPr>
          <w:rFonts w:ascii="Garamond" w:hAnsi="Garamond"/>
          <w:lang w:val="en-GB"/>
        </w:rPr>
        <w:t xml:space="preserve">the </w:t>
      </w:r>
      <w:proofErr w:type="spellStart"/>
      <w:r w:rsidR="00643D0B" w:rsidRPr="00F02039">
        <w:rPr>
          <w:rFonts w:ascii="Garamond" w:eastAsia="Cambria" w:hAnsi="Garamond" w:cs="Times New Roman"/>
          <w:lang w:val="en-GB"/>
        </w:rPr>
        <w:t>Å</w:t>
      </w:r>
      <w:r w:rsidR="0074539C">
        <w:rPr>
          <w:rFonts w:ascii="Garamond" w:hAnsi="Garamond"/>
          <w:lang w:val="en-GB"/>
        </w:rPr>
        <w:t>land</w:t>
      </w:r>
      <w:proofErr w:type="spellEnd"/>
      <w:r w:rsidR="0074539C">
        <w:rPr>
          <w:rFonts w:ascii="Garamond" w:hAnsi="Garamond"/>
          <w:lang w:val="en-GB"/>
        </w:rPr>
        <w:t xml:space="preserve"> Islands and</w:t>
      </w:r>
      <w:r w:rsidR="00EA22D4">
        <w:rPr>
          <w:rFonts w:ascii="Garamond" w:hAnsi="Garamond"/>
          <w:lang w:val="en-GB"/>
        </w:rPr>
        <w:t xml:space="preserve"> Norway,</w:t>
      </w:r>
      <w:r w:rsidRPr="000D22ED">
        <w:rPr>
          <w:rFonts w:ascii="Garamond" w:hAnsi="Garamond"/>
          <w:lang w:val="en-GB"/>
        </w:rPr>
        <w:t xml:space="preserve"> keep it limited to a </w:t>
      </w:r>
      <w:r w:rsidR="005B120D" w:rsidRPr="000D22ED">
        <w:rPr>
          <w:rFonts w:ascii="Garamond" w:hAnsi="Garamond"/>
          <w:lang w:val="en-GB"/>
        </w:rPr>
        <w:t xml:space="preserve">rather general overview </w:t>
      </w:r>
      <w:r w:rsidR="002C6C88">
        <w:rPr>
          <w:rFonts w:ascii="Garamond" w:hAnsi="Garamond"/>
          <w:lang w:val="en-GB"/>
        </w:rPr>
        <w:t xml:space="preserve">of about four pages </w:t>
      </w:r>
      <w:r w:rsidR="005B120D" w:rsidRPr="000D22ED">
        <w:rPr>
          <w:rFonts w:ascii="Garamond" w:hAnsi="Garamond"/>
          <w:lang w:val="en-GB"/>
        </w:rPr>
        <w:t xml:space="preserve">touching upon only a few </w:t>
      </w:r>
      <w:r w:rsidR="00DB3308">
        <w:rPr>
          <w:rFonts w:ascii="Garamond" w:hAnsi="Garamond"/>
          <w:lang w:val="en-GB"/>
        </w:rPr>
        <w:t xml:space="preserve">topics </w:t>
      </w:r>
      <w:r w:rsidR="005B120D" w:rsidRPr="000D22ED">
        <w:rPr>
          <w:rFonts w:ascii="Garamond" w:hAnsi="Garamond"/>
          <w:lang w:val="en-GB"/>
        </w:rPr>
        <w:t>of the Resolution.</w:t>
      </w:r>
    </w:p>
    <w:p w:rsidR="000D22ED" w:rsidRPr="000D22ED" w:rsidRDefault="000D22ED" w:rsidP="008C48D5">
      <w:pPr>
        <w:spacing w:line="280" w:lineRule="exact"/>
        <w:jc w:val="both"/>
        <w:rPr>
          <w:rFonts w:ascii="Garamond" w:hAnsi="Garamond"/>
          <w:lang w:val="en-GB"/>
        </w:rPr>
      </w:pPr>
    </w:p>
    <w:p w:rsidR="00446CCD" w:rsidRDefault="00536E9F" w:rsidP="008C48D5">
      <w:pPr>
        <w:spacing w:line="280" w:lineRule="exact"/>
        <w:jc w:val="both"/>
        <w:rPr>
          <w:rFonts w:ascii="Garamond" w:hAnsi="Garamond"/>
          <w:lang w:val="en-GB"/>
        </w:rPr>
      </w:pPr>
      <w:r w:rsidRPr="000D22ED">
        <w:rPr>
          <w:rFonts w:ascii="Garamond" w:hAnsi="Garamond"/>
          <w:lang w:val="en-GB"/>
        </w:rPr>
        <w:t>We</w:t>
      </w:r>
      <w:r w:rsidR="005B120D" w:rsidRPr="000D22ED">
        <w:rPr>
          <w:rFonts w:ascii="Garamond" w:hAnsi="Garamond"/>
          <w:lang w:val="en-GB"/>
        </w:rPr>
        <w:t xml:space="preserve"> </w:t>
      </w:r>
      <w:r w:rsidR="00DE74C7" w:rsidRPr="000D22ED">
        <w:rPr>
          <w:rFonts w:ascii="Garamond" w:hAnsi="Garamond"/>
          <w:lang w:val="en-GB"/>
        </w:rPr>
        <w:t>explicitly point out to</w:t>
      </w:r>
      <w:r w:rsidRPr="000D22ED">
        <w:rPr>
          <w:rFonts w:ascii="Garamond" w:hAnsi="Garamond"/>
          <w:lang w:val="en-GB"/>
        </w:rPr>
        <w:t xml:space="preserve"> keep in mind that</w:t>
      </w:r>
      <w:r w:rsidR="005B120D" w:rsidRPr="000D22ED">
        <w:rPr>
          <w:rFonts w:ascii="Garamond" w:hAnsi="Garamond"/>
          <w:lang w:val="en-GB"/>
        </w:rPr>
        <w:t xml:space="preserve"> the level of comprehensives of a submitted statement by itself does not allow a direct inference to the overall activities of a respective government in the priority areas of the Resolution. Relying only on the statements therefore does not constitute a reliable data source for a proper statistical analysis. However, our qualitative analysis </w:t>
      </w:r>
      <w:r w:rsidR="00DE74C7" w:rsidRPr="000D22ED">
        <w:rPr>
          <w:rFonts w:ascii="Garamond" w:hAnsi="Garamond"/>
          <w:lang w:val="en-GB"/>
        </w:rPr>
        <w:t xml:space="preserve">in the following section </w:t>
      </w:r>
      <w:r w:rsidR="005B120D" w:rsidRPr="000D22ED">
        <w:rPr>
          <w:rFonts w:ascii="Garamond" w:hAnsi="Garamond"/>
          <w:lang w:val="en-GB"/>
        </w:rPr>
        <w:t>does h</w:t>
      </w:r>
      <w:r w:rsidRPr="000D22ED">
        <w:rPr>
          <w:rFonts w:ascii="Garamond" w:hAnsi="Garamond"/>
          <w:lang w:val="en-GB"/>
        </w:rPr>
        <w:t>ighlight some general findings and shortcomings in the submitted statements.</w:t>
      </w:r>
      <w:r w:rsidR="004B5305">
        <w:rPr>
          <w:rFonts w:ascii="Garamond" w:hAnsi="Garamond"/>
          <w:lang w:val="en-GB"/>
        </w:rPr>
        <w:t xml:space="preserve"> While the governments in their responses list </w:t>
      </w:r>
      <w:r w:rsidR="0090635E">
        <w:rPr>
          <w:rFonts w:ascii="Garamond" w:hAnsi="Garamond"/>
          <w:lang w:val="en-GB"/>
        </w:rPr>
        <w:t xml:space="preserve">both national and </w:t>
      </w:r>
      <w:r w:rsidR="0090635E">
        <w:rPr>
          <w:rFonts w:ascii="Garamond" w:hAnsi="Garamond"/>
          <w:lang w:val="en-GB"/>
        </w:rPr>
        <w:lastRenderedPageBreak/>
        <w:t xml:space="preserve">transnational initiatives and actions, with a </w:t>
      </w:r>
      <w:r w:rsidR="000846E9">
        <w:rPr>
          <w:rFonts w:ascii="Garamond" w:hAnsi="Garamond"/>
          <w:lang w:val="en-GB"/>
        </w:rPr>
        <w:t xml:space="preserve">strong focus on </w:t>
      </w:r>
      <w:r w:rsidR="0090635E">
        <w:rPr>
          <w:rFonts w:ascii="Garamond" w:hAnsi="Garamond"/>
          <w:lang w:val="en-GB"/>
        </w:rPr>
        <w:t xml:space="preserve">the former, we </w:t>
      </w:r>
      <w:r w:rsidR="000846E9">
        <w:rPr>
          <w:rFonts w:ascii="Garamond" w:hAnsi="Garamond"/>
          <w:lang w:val="en-GB"/>
        </w:rPr>
        <w:t>concentrate</w:t>
      </w:r>
      <w:r w:rsidR="0090635E">
        <w:rPr>
          <w:rFonts w:ascii="Garamond" w:hAnsi="Garamond"/>
          <w:lang w:val="en-GB"/>
        </w:rPr>
        <w:t xml:space="preserve"> our analysis on the transnational activities as w</w:t>
      </w:r>
      <w:r w:rsidR="00125FA5">
        <w:rPr>
          <w:rFonts w:ascii="Garamond" w:hAnsi="Garamond"/>
          <w:lang w:val="en-GB"/>
        </w:rPr>
        <w:t>ell as the links between both.</w:t>
      </w:r>
    </w:p>
    <w:p w:rsidR="00486E34" w:rsidRDefault="00486E34" w:rsidP="008C48D5">
      <w:pPr>
        <w:spacing w:line="280" w:lineRule="exact"/>
        <w:jc w:val="both"/>
        <w:rPr>
          <w:rFonts w:ascii="Garamond" w:hAnsi="Garamond"/>
          <w:lang w:val="en-GB"/>
        </w:rPr>
      </w:pPr>
    </w:p>
    <w:p w:rsidR="00486E34" w:rsidRDefault="00486E34" w:rsidP="008C48D5">
      <w:pPr>
        <w:spacing w:line="280" w:lineRule="exact"/>
        <w:jc w:val="both"/>
        <w:rPr>
          <w:rFonts w:ascii="Garamond" w:hAnsi="Garamond"/>
          <w:lang w:val="en-GB"/>
        </w:rPr>
      </w:pPr>
    </w:p>
    <w:p w:rsidR="005A38EF" w:rsidRPr="001B4306" w:rsidRDefault="005A38EF" w:rsidP="008C48D5">
      <w:pPr>
        <w:pStyle w:val="Listenabsatz"/>
        <w:numPr>
          <w:ilvl w:val="0"/>
          <w:numId w:val="9"/>
        </w:numPr>
        <w:spacing w:line="280" w:lineRule="exact"/>
        <w:jc w:val="both"/>
        <w:rPr>
          <w:rFonts w:ascii="Garamond" w:hAnsi="Garamond"/>
          <w:b/>
          <w:sz w:val="28"/>
          <w:szCs w:val="28"/>
          <w:lang w:val="en-GB"/>
        </w:rPr>
      </w:pPr>
      <w:r w:rsidRPr="001B4306">
        <w:rPr>
          <w:rFonts w:ascii="Garamond" w:hAnsi="Garamond"/>
          <w:b/>
          <w:sz w:val="28"/>
          <w:szCs w:val="28"/>
          <w:lang w:val="en-GB"/>
        </w:rPr>
        <w:t>Qualitative Analysis</w:t>
      </w:r>
    </w:p>
    <w:p w:rsidR="00507C2A" w:rsidRDefault="00507C2A" w:rsidP="008C48D5">
      <w:pPr>
        <w:spacing w:line="280" w:lineRule="exact"/>
        <w:jc w:val="both"/>
        <w:rPr>
          <w:rFonts w:ascii="Garamond" w:eastAsia="Cambria" w:hAnsi="Garamond" w:cs="Times New Roman"/>
          <w:sz w:val="22"/>
          <w:szCs w:val="20"/>
          <w:lang w:val="en-GB"/>
        </w:rPr>
      </w:pPr>
    </w:p>
    <w:p w:rsidR="00CC5855" w:rsidRPr="00F02039" w:rsidRDefault="00CC5855" w:rsidP="008C48D5">
      <w:pPr>
        <w:spacing w:line="280" w:lineRule="exact"/>
        <w:jc w:val="both"/>
        <w:rPr>
          <w:rFonts w:ascii="Garamond" w:eastAsia="Cambria" w:hAnsi="Garamond" w:cs="Times New Roman"/>
          <w:lang w:val="en-GB"/>
        </w:rPr>
      </w:pPr>
      <w:r w:rsidRPr="00F02039">
        <w:rPr>
          <w:rFonts w:ascii="Garamond" w:eastAsia="Cambria" w:hAnsi="Garamond" w:cs="Times New Roman"/>
          <w:lang w:val="en-GB"/>
        </w:rPr>
        <w:t>The 26</w:t>
      </w:r>
      <w:r w:rsidRPr="00F02039">
        <w:rPr>
          <w:rFonts w:ascii="Garamond" w:eastAsia="Cambria" w:hAnsi="Garamond" w:cs="Times New Roman"/>
          <w:vertAlign w:val="superscript"/>
          <w:lang w:val="en-GB"/>
        </w:rPr>
        <w:t>th</w:t>
      </w:r>
      <w:r w:rsidRPr="00F02039">
        <w:rPr>
          <w:rFonts w:ascii="Garamond" w:eastAsia="Cambria" w:hAnsi="Garamond" w:cs="Times New Roman"/>
          <w:lang w:val="en-GB"/>
        </w:rPr>
        <w:t xml:space="preserve"> BSPC Resolution contains several parts. The preamble covers various broader issues. Most importantly, it welcomes the Foreign Minister’s meeting on the occasion of the 25</w:t>
      </w:r>
      <w:r w:rsidRPr="00F02039">
        <w:rPr>
          <w:rFonts w:ascii="Garamond" w:eastAsia="Cambria" w:hAnsi="Garamond" w:cs="Times New Roman"/>
          <w:vertAlign w:val="superscript"/>
          <w:lang w:val="en-GB"/>
        </w:rPr>
        <w:t>th</w:t>
      </w:r>
      <w:r w:rsidRPr="00F02039">
        <w:rPr>
          <w:rFonts w:ascii="Garamond" w:eastAsia="Cambria" w:hAnsi="Garamond" w:cs="Times New Roman"/>
          <w:lang w:val="en-GB"/>
        </w:rPr>
        <w:t xml:space="preserve"> anniversary of the CBSS as a positive development in order to re-establish “full-scale and comprehensive political dialogue”. In addition, the establishment of an independent group of wise persons is supported which was tasked to provide recommendations for a vision of the Baltic Sea Region beyond 2020 and the future role of the CBSS. Other provisions include the continued involvement of youth as well as the concern about the increasing number of terrorist attacks in the region.</w:t>
      </w:r>
    </w:p>
    <w:p w:rsidR="00CC5855" w:rsidRPr="00F02039" w:rsidRDefault="00CC5855" w:rsidP="008C48D5">
      <w:pPr>
        <w:spacing w:line="280" w:lineRule="exact"/>
        <w:jc w:val="both"/>
        <w:rPr>
          <w:rFonts w:ascii="Garamond" w:eastAsia="Cambria" w:hAnsi="Garamond" w:cs="Times New Roman"/>
          <w:lang w:val="en-GB"/>
        </w:rPr>
      </w:pPr>
    </w:p>
    <w:p w:rsidR="00CC5855" w:rsidRDefault="00CC5855" w:rsidP="008C48D5">
      <w:pPr>
        <w:spacing w:line="280" w:lineRule="exact"/>
        <w:jc w:val="both"/>
        <w:rPr>
          <w:rFonts w:ascii="Garamond" w:eastAsia="Cambria" w:hAnsi="Garamond" w:cs="Times New Roman"/>
          <w:lang w:val="en-GB"/>
        </w:rPr>
      </w:pPr>
      <w:r w:rsidRPr="00F02039">
        <w:rPr>
          <w:rFonts w:ascii="Garamond" w:eastAsia="Cambria" w:hAnsi="Garamond" w:cs="Times New Roman"/>
          <w:lang w:val="en-GB"/>
        </w:rPr>
        <w:t>This is followed by a more general chapter on “Cooperation in the Region” (Paragraphs 1-5)</w:t>
      </w:r>
      <w:r>
        <w:rPr>
          <w:rFonts w:ascii="Garamond" w:eastAsia="Cambria" w:hAnsi="Garamond" w:cs="Times New Roman"/>
          <w:lang w:val="en-GB"/>
        </w:rPr>
        <w:t>,</w:t>
      </w:r>
      <w:r w:rsidRPr="000D22ED">
        <w:rPr>
          <w:rFonts w:ascii="Garamond" w:eastAsia="Cambria" w:hAnsi="Garamond" w:cs="Times New Roman"/>
          <w:lang w:val="en-GB"/>
        </w:rPr>
        <w:t xml:space="preserve"> call</w:t>
      </w:r>
      <w:r>
        <w:rPr>
          <w:rFonts w:ascii="Garamond" w:eastAsia="Cambria" w:hAnsi="Garamond" w:cs="Times New Roman"/>
          <w:lang w:val="en-GB"/>
        </w:rPr>
        <w:t>ing</w:t>
      </w:r>
      <w:r w:rsidRPr="000D22ED">
        <w:rPr>
          <w:rFonts w:ascii="Garamond" w:eastAsia="Cambria" w:hAnsi="Garamond" w:cs="Times New Roman"/>
          <w:lang w:val="en-GB"/>
        </w:rPr>
        <w:t xml:space="preserve"> </w:t>
      </w:r>
      <w:r>
        <w:rPr>
          <w:rFonts w:ascii="Garamond" w:eastAsia="Cambria" w:hAnsi="Garamond" w:cs="Times New Roman"/>
          <w:lang w:val="en-GB"/>
        </w:rPr>
        <w:t xml:space="preserve">in particular </w:t>
      </w:r>
      <w:r w:rsidRPr="000D22ED">
        <w:rPr>
          <w:rFonts w:ascii="Garamond" w:eastAsia="Cambria" w:hAnsi="Garamond" w:cs="Times New Roman"/>
          <w:lang w:val="en-GB"/>
        </w:rPr>
        <w:t xml:space="preserve">for </w:t>
      </w:r>
      <w:r>
        <w:rPr>
          <w:rFonts w:ascii="Garamond" w:eastAsia="Cambria" w:hAnsi="Garamond" w:cs="Times New Roman"/>
          <w:lang w:val="en-GB"/>
        </w:rPr>
        <w:t>intensify</w:t>
      </w:r>
      <w:r w:rsidRPr="000D22ED">
        <w:rPr>
          <w:rFonts w:ascii="Garamond" w:eastAsia="Cambria" w:hAnsi="Garamond" w:cs="Times New Roman"/>
          <w:lang w:val="en-GB"/>
        </w:rPr>
        <w:t xml:space="preserve">ing </w:t>
      </w:r>
      <w:r>
        <w:rPr>
          <w:rFonts w:ascii="Garamond" w:eastAsia="Cambria" w:hAnsi="Garamond" w:cs="Times New Roman"/>
          <w:lang w:val="en-GB"/>
        </w:rPr>
        <w:t>the cooperation in the Baltic Sea region</w:t>
      </w:r>
      <w:r w:rsidRPr="000D22ED">
        <w:rPr>
          <w:rFonts w:ascii="Garamond" w:eastAsia="Cambria" w:hAnsi="Garamond" w:cs="Times New Roman"/>
          <w:lang w:val="en-GB"/>
        </w:rPr>
        <w:t xml:space="preserve"> (Paragraph </w:t>
      </w:r>
      <w:r>
        <w:rPr>
          <w:rFonts w:ascii="Garamond" w:eastAsia="Cambria" w:hAnsi="Garamond" w:cs="Times New Roman"/>
          <w:lang w:val="en-GB"/>
        </w:rPr>
        <w:t>1</w:t>
      </w:r>
      <w:r w:rsidRPr="000D22ED">
        <w:rPr>
          <w:rFonts w:ascii="Garamond" w:eastAsia="Cambria" w:hAnsi="Garamond" w:cs="Times New Roman"/>
          <w:lang w:val="en-GB"/>
        </w:rPr>
        <w:t>)</w:t>
      </w:r>
      <w:r w:rsidRPr="00F02039">
        <w:rPr>
          <w:rFonts w:ascii="Garamond" w:eastAsia="Cambria" w:hAnsi="Garamond" w:cs="Times New Roman"/>
          <w:lang w:val="en-GB"/>
        </w:rPr>
        <w:t xml:space="preserve">. More specific issues are subsequently subsumed in three thematic </w:t>
      </w:r>
      <w:r>
        <w:rPr>
          <w:rFonts w:ascii="Garamond" w:eastAsia="Cambria" w:hAnsi="Garamond" w:cs="Times New Roman"/>
          <w:lang w:val="en-GB"/>
        </w:rPr>
        <w:t>sections</w:t>
      </w:r>
      <w:r w:rsidRPr="00F02039">
        <w:rPr>
          <w:rFonts w:ascii="Garamond" w:eastAsia="Cambria" w:hAnsi="Garamond" w:cs="Times New Roman"/>
          <w:lang w:val="en-GB"/>
        </w:rPr>
        <w:t xml:space="preserve">: </w:t>
      </w:r>
    </w:p>
    <w:p w:rsidR="00CC5855" w:rsidRPr="00F02039" w:rsidRDefault="00CC5855" w:rsidP="008C48D5">
      <w:pPr>
        <w:spacing w:line="280" w:lineRule="exact"/>
        <w:jc w:val="both"/>
        <w:rPr>
          <w:rFonts w:ascii="Garamond" w:eastAsia="Cambria" w:hAnsi="Garamond" w:cs="Times New Roman"/>
          <w:lang w:val="en-GB"/>
        </w:rPr>
      </w:pPr>
    </w:p>
    <w:p w:rsidR="00CC5855" w:rsidRPr="00F02039" w:rsidRDefault="00CC5855" w:rsidP="008C48D5">
      <w:pPr>
        <w:pStyle w:val="Listenabsatz"/>
        <w:numPr>
          <w:ilvl w:val="0"/>
          <w:numId w:val="3"/>
        </w:numPr>
        <w:spacing w:line="280" w:lineRule="exact"/>
        <w:jc w:val="both"/>
        <w:rPr>
          <w:rFonts w:ascii="Garamond" w:eastAsia="Cambria" w:hAnsi="Garamond" w:cs="Times New Roman"/>
          <w:lang w:val="en-GB"/>
        </w:rPr>
      </w:pPr>
      <w:r w:rsidRPr="00F02039">
        <w:rPr>
          <w:rFonts w:ascii="Garamond" w:eastAsia="Cambria" w:hAnsi="Garamond" w:cs="Times New Roman"/>
          <w:lang w:val="en-GB"/>
        </w:rPr>
        <w:t>“Democratic Participation and the Digital Age” (Paragraphs 6-15),</w:t>
      </w:r>
    </w:p>
    <w:p w:rsidR="00CC5855" w:rsidRPr="00F02039" w:rsidRDefault="00CC5855" w:rsidP="008C48D5">
      <w:pPr>
        <w:pStyle w:val="Listenabsatz"/>
        <w:numPr>
          <w:ilvl w:val="0"/>
          <w:numId w:val="3"/>
        </w:numPr>
        <w:spacing w:line="280" w:lineRule="exact"/>
        <w:jc w:val="both"/>
        <w:rPr>
          <w:rFonts w:ascii="Garamond" w:eastAsia="Cambria" w:hAnsi="Garamond" w:cs="Times New Roman"/>
          <w:lang w:val="en-GB"/>
        </w:rPr>
      </w:pPr>
      <w:r w:rsidRPr="00F02039">
        <w:rPr>
          <w:rFonts w:ascii="Garamond" w:eastAsia="Cambria" w:hAnsi="Garamond" w:cs="Times New Roman"/>
          <w:lang w:val="en-GB"/>
        </w:rPr>
        <w:t>“Innovative Science and Research” (Paragraphs 16-27),</w:t>
      </w:r>
    </w:p>
    <w:p w:rsidR="00CC5855" w:rsidRPr="00F02039" w:rsidRDefault="00CC5855" w:rsidP="008C48D5">
      <w:pPr>
        <w:pStyle w:val="Listenabsatz"/>
        <w:numPr>
          <w:ilvl w:val="0"/>
          <w:numId w:val="3"/>
        </w:numPr>
        <w:spacing w:line="280" w:lineRule="exact"/>
        <w:jc w:val="both"/>
        <w:rPr>
          <w:rFonts w:ascii="Garamond" w:eastAsia="Cambria" w:hAnsi="Garamond" w:cs="Times New Roman"/>
          <w:lang w:val="en-GB"/>
        </w:rPr>
      </w:pPr>
      <w:r w:rsidRPr="00F02039">
        <w:rPr>
          <w:rFonts w:ascii="Garamond" w:eastAsia="Cambria" w:hAnsi="Garamond" w:cs="Times New Roman"/>
          <w:lang w:val="en-GB"/>
        </w:rPr>
        <w:t>“Sustainable Tourism” (Paragraphs 28-40).</w:t>
      </w:r>
    </w:p>
    <w:p w:rsidR="00CC5855" w:rsidRDefault="00CC5855" w:rsidP="008C48D5">
      <w:pPr>
        <w:spacing w:line="280" w:lineRule="exact"/>
        <w:jc w:val="both"/>
        <w:rPr>
          <w:rFonts w:ascii="Garamond" w:eastAsia="Cambria" w:hAnsi="Garamond" w:cs="Times New Roman"/>
          <w:lang w:val="en-GB"/>
        </w:rPr>
      </w:pPr>
    </w:p>
    <w:p w:rsidR="00CC5855" w:rsidRPr="00F02039" w:rsidRDefault="00CC5855" w:rsidP="008C48D5">
      <w:pPr>
        <w:spacing w:line="280" w:lineRule="exact"/>
        <w:jc w:val="both"/>
        <w:rPr>
          <w:rFonts w:ascii="Garamond" w:eastAsia="Cambria" w:hAnsi="Garamond" w:cs="Times New Roman"/>
          <w:lang w:val="en-GB"/>
        </w:rPr>
      </w:pPr>
      <w:r w:rsidRPr="00F02039">
        <w:rPr>
          <w:rFonts w:ascii="Garamond" w:eastAsia="Cambria" w:hAnsi="Garamond" w:cs="Times New Roman"/>
          <w:lang w:val="en-GB"/>
        </w:rPr>
        <w:t xml:space="preserve">The last Paragraph (41) expresses gratitude to the Parliament of </w:t>
      </w:r>
      <w:proofErr w:type="spellStart"/>
      <w:r w:rsidRPr="00F02039">
        <w:rPr>
          <w:rFonts w:ascii="Garamond" w:eastAsia="Cambria" w:hAnsi="Garamond" w:cs="Times New Roman"/>
          <w:lang w:val="en-GB"/>
        </w:rPr>
        <w:t>Åland</w:t>
      </w:r>
      <w:proofErr w:type="spellEnd"/>
      <w:r w:rsidRPr="00F02039">
        <w:rPr>
          <w:rFonts w:ascii="Garamond" w:eastAsia="Cambria" w:hAnsi="Garamond" w:cs="Times New Roman"/>
          <w:lang w:val="en-GB"/>
        </w:rPr>
        <w:t xml:space="preserve"> as the host of the 27</w:t>
      </w:r>
      <w:r w:rsidRPr="00F02039">
        <w:rPr>
          <w:rFonts w:ascii="Garamond" w:eastAsia="Cambria" w:hAnsi="Garamond" w:cs="Times New Roman"/>
          <w:vertAlign w:val="superscript"/>
          <w:lang w:val="en-GB"/>
        </w:rPr>
        <w:t>th</w:t>
      </w:r>
      <w:r w:rsidRPr="00F02039">
        <w:rPr>
          <w:rFonts w:ascii="Garamond" w:eastAsia="Cambria" w:hAnsi="Garamond" w:cs="Times New Roman"/>
          <w:lang w:val="en-GB"/>
        </w:rPr>
        <w:t xml:space="preserve"> BSPC Conference in August 2018.</w:t>
      </w:r>
    </w:p>
    <w:p w:rsidR="00CC5855" w:rsidRPr="00F02039" w:rsidRDefault="00CC5855" w:rsidP="008C48D5">
      <w:pPr>
        <w:spacing w:line="280" w:lineRule="exact"/>
        <w:jc w:val="both"/>
        <w:rPr>
          <w:rFonts w:ascii="Garamond" w:eastAsia="Cambria" w:hAnsi="Garamond" w:cs="Times New Roman"/>
          <w:lang w:val="en-GB"/>
        </w:rPr>
      </w:pPr>
    </w:p>
    <w:p w:rsidR="00CC5855" w:rsidRPr="00F02039" w:rsidRDefault="00CC5855" w:rsidP="008C48D5">
      <w:pPr>
        <w:spacing w:line="280" w:lineRule="exact"/>
        <w:jc w:val="both"/>
        <w:rPr>
          <w:rFonts w:ascii="Garamond" w:hAnsi="Garamond"/>
          <w:lang w:val="en-GB"/>
        </w:rPr>
      </w:pPr>
      <w:r w:rsidRPr="00F02039">
        <w:rPr>
          <w:rFonts w:ascii="Garamond" w:hAnsi="Garamond"/>
          <w:lang w:val="en-GB"/>
        </w:rPr>
        <w:t xml:space="preserve">Our qualitative analysis of the governments’ statements will be grouped according to </w:t>
      </w:r>
      <w:r w:rsidR="00643D0B">
        <w:rPr>
          <w:rFonts w:ascii="Garamond" w:hAnsi="Garamond"/>
          <w:lang w:val="en-GB"/>
        </w:rPr>
        <w:t xml:space="preserve">the </w:t>
      </w:r>
      <w:r w:rsidRPr="00F02039">
        <w:rPr>
          <w:rFonts w:ascii="Garamond" w:hAnsi="Garamond"/>
          <w:lang w:val="en-GB"/>
        </w:rPr>
        <w:t xml:space="preserve">structure of the Resolution. First we will assess the statements concerning the general cooperation chapter before turning towards the three thematic </w:t>
      </w:r>
      <w:r>
        <w:rPr>
          <w:rFonts w:ascii="Garamond" w:hAnsi="Garamond"/>
          <w:lang w:val="en-GB"/>
        </w:rPr>
        <w:t>sections</w:t>
      </w:r>
      <w:r w:rsidRPr="00F02039">
        <w:rPr>
          <w:rFonts w:ascii="Garamond" w:hAnsi="Garamond"/>
          <w:lang w:val="en-GB"/>
        </w:rPr>
        <w:t>.</w:t>
      </w:r>
    </w:p>
    <w:p w:rsidR="00F378AC" w:rsidRDefault="00F378AC" w:rsidP="008C48D5">
      <w:pPr>
        <w:spacing w:line="280" w:lineRule="exact"/>
        <w:jc w:val="both"/>
        <w:rPr>
          <w:rFonts w:ascii="Garamond" w:hAnsi="Garamond"/>
          <w:lang w:val="en-GB"/>
        </w:rPr>
      </w:pPr>
    </w:p>
    <w:p w:rsidR="00F378AC" w:rsidRPr="00F378AC" w:rsidRDefault="00F378AC" w:rsidP="008C48D5">
      <w:pPr>
        <w:spacing w:line="280" w:lineRule="exact"/>
        <w:jc w:val="both"/>
        <w:rPr>
          <w:rFonts w:ascii="Garamond" w:hAnsi="Garamond"/>
          <w:sz w:val="26"/>
          <w:szCs w:val="26"/>
          <w:lang w:val="en-GB"/>
        </w:rPr>
      </w:pPr>
    </w:p>
    <w:p w:rsidR="00F378AC" w:rsidRPr="00F378AC" w:rsidRDefault="00F378AC" w:rsidP="008C48D5">
      <w:pPr>
        <w:pStyle w:val="Listenabsatz"/>
        <w:numPr>
          <w:ilvl w:val="1"/>
          <w:numId w:val="9"/>
        </w:numPr>
        <w:spacing w:line="280" w:lineRule="exact"/>
        <w:jc w:val="both"/>
        <w:rPr>
          <w:rFonts w:ascii="Garamond" w:hAnsi="Garamond"/>
          <w:b/>
          <w:sz w:val="26"/>
          <w:szCs w:val="26"/>
          <w:lang w:val="en-GB"/>
        </w:rPr>
      </w:pPr>
      <w:r w:rsidRPr="00F378AC">
        <w:rPr>
          <w:rFonts w:ascii="Garamond" w:hAnsi="Garamond"/>
          <w:b/>
          <w:sz w:val="26"/>
          <w:szCs w:val="26"/>
          <w:lang w:val="en-GB"/>
        </w:rPr>
        <w:t>Assessment regarding the chapter “Cooperation in the Region”</w:t>
      </w:r>
    </w:p>
    <w:p w:rsidR="00536E9F" w:rsidRPr="00F378AC" w:rsidRDefault="00536E9F" w:rsidP="008C48D5">
      <w:pPr>
        <w:spacing w:line="280" w:lineRule="exact"/>
        <w:jc w:val="both"/>
        <w:rPr>
          <w:rFonts w:ascii="Garamond" w:hAnsi="Garamond"/>
          <w:sz w:val="26"/>
          <w:szCs w:val="26"/>
          <w:lang w:val="en-GB"/>
        </w:rPr>
      </w:pPr>
    </w:p>
    <w:p w:rsidR="00273E71" w:rsidRDefault="00273E71" w:rsidP="008C48D5">
      <w:pPr>
        <w:jc w:val="both"/>
        <w:rPr>
          <w:rFonts w:ascii="Garamond" w:hAnsi="Garamond"/>
          <w:lang w:val="en-GB"/>
        </w:rPr>
      </w:pPr>
      <w:r>
        <w:rPr>
          <w:rFonts w:ascii="Garamond" w:hAnsi="Garamond"/>
          <w:lang w:val="en-GB"/>
        </w:rPr>
        <w:t>Several governments support the Resolution’s request to intensify the cooperation in the Baltic Sea region</w:t>
      </w:r>
      <w:r w:rsidR="002906B0">
        <w:rPr>
          <w:rFonts w:ascii="Garamond" w:hAnsi="Garamond"/>
          <w:lang w:val="en-GB"/>
        </w:rPr>
        <w:t xml:space="preserve"> (Paragraph 1)</w:t>
      </w:r>
      <w:r>
        <w:rPr>
          <w:rFonts w:ascii="Garamond" w:hAnsi="Garamond"/>
          <w:lang w:val="en-GB"/>
        </w:rPr>
        <w:t>. The Danish government for example</w:t>
      </w:r>
      <w:r w:rsidR="002906B0">
        <w:rPr>
          <w:rFonts w:ascii="Garamond" w:hAnsi="Garamond"/>
          <w:lang w:val="en-GB"/>
        </w:rPr>
        <w:t xml:space="preserve"> states that a continued political dialogue is necessary as it contributes to decrease tension and to build trust. The German Federal Government underlines this notion, expressing its conviction that safety and trust in the region can be achieved through political dialogue and the practical cooperation with Russia in the long term. It further confirms its commitment to future Baltic Sea cooperation.</w:t>
      </w:r>
      <w:r w:rsidR="0074539C">
        <w:rPr>
          <w:rFonts w:ascii="Garamond" w:hAnsi="Garamond"/>
          <w:lang w:val="en-GB"/>
        </w:rPr>
        <w:t xml:space="preserve"> Latvia confirms its commitment to the Council of the Baltic Sea States (CBSS) which it will chair between July 2018 and June 2019. The Latvian Presidency intends to focus on the prevention of human trafficking, the combating of organised crime, the shaping and preservation of cultural heritage in the BSR</w:t>
      </w:r>
      <w:r w:rsidR="00C206F3">
        <w:rPr>
          <w:rFonts w:ascii="Garamond" w:hAnsi="Garamond"/>
          <w:lang w:val="en-GB"/>
        </w:rPr>
        <w:t>.</w:t>
      </w:r>
      <w:r w:rsidR="0074539C">
        <w:rPr>
          <w:rFonts w:ascii="Garamond" w:hAnsi="Garamond"/>
          <w:lang w:val="en-GB"/>
        </w:rPr>
        <w:t xml:space="preserve"> </w:t>
      </w:r>
      <w:r w:rsidR="00C206F3">
        <w:rPr>
          <w:rFonts w:ascii="Garamond" w:hAnsi="Garamond"/>
          <w:lang w:val="en-GB"/>
        </w:rPr>
        <w:t>It</w:t>
      </w:r>
      <w:r w:rsidR="0074539C">
        <w:rPr>
          <w:rFonts w:ascii="Garamond" w:hAnsi="Garamond"/>
          <w:lang w:val="en-GB"/>
        </w:rPr>
        <w:t xml:space="preserve"> further </w:t>
      </w:r>
      <w:r w:rsidR="00C206F3">
        <w:rPr>
          <w:rFonts w:ascii="Garamond" w:hAnsi="Garamond"/>
          <w:lang w:val="en-GB"/>
        </w:rPr>
        <w:t>plans to</w:t>
      </w:r>
      <w:r w:rsidR="006743DC">
        <w:rPr>
          <w:rFonts w:ascii="Garamond" w:hAnsi="Garamond"/>
          <w:lang w:val="en-GB"/>
        </w:rPr>
        <w:t xml:space="preserve"> </w:t>
      </w:r>
      <w:r w:rsidR="0074539C">
        <w:rPr>
          <w:rFonts w:ascii="Garamond" w:hAnsi="Garamond"/>
          <w:lang w:val="en-GB"/>
        </w:rPr>
        <w:t xml:space="preserve">contribute to </w:t>
      </w:r>
      <w:r w:rsidR="00A1384F">
        <w:rPr>
          <w:rFonts w:ascii="Garamond" w:hAnsi="Garamond"/>
          <w:lang w:val="en-GB"/>
        </w:rPr>
        <w:t xml:space="preserve">CBSS activities regarding </w:t>
      </w:r>
      <w:r w:rsidR="0074539C">
        <w:rPr>
          <w:rFonts w:ascii="Garamond" w:hAnsi="Garamond"/>
          <w:lang w:val="en-GB"/>
        </w:rPr>
        <w:t xml:space="preserve">sustainability, climate change and spatial planning. </w:t>
      </w:r>
      <w:r w:rsidR="00A1384F">
        <w:rPr>
          <w:rFonts w:ascii="Garamond" w:hAnsi="Garamond"/>
          <w:lang w:val="en-GB"/>
        </w:rPr>
        <w:t xml:space="preserve">The Estonian Government supports as general principles for regional cooperation in various formats: division of labour, cooperation and avoidance of duplication. </w:t>
      </w:r>
      <w:r w:rsidR="00747B47">
        <w:rPr>
          <w:rFonts w:ascii="Garamond" w:hAnsi="Garamond"/>
          <w:lang w:val="en-GB"/>
        </w:rPr>
        <w:t>The Finnish government refers in detail to its recently adopted new National Strategy for the Baltic Sea Region. With th</w:t>
      </w:r>
      <w:r w:rsidR="003D3A9C">
        <w:rPr>
          <w:rFonts w:ascii="Garamond" w:hAnsi="Garamond"/>
          <w:lang w:val="en-GB"/>
        </w:rPr>
        <w:t>is strategy</w:t>
      </w:r>
      <w:r w:rsidR="00747B47">
        <w:rPr>
          <w:rFonts w:ascii="Garamond" w:hAnsi="Garamond"/>
          <w:lang w:val="en-GB"/>
        </w:rPr>
        <w:t xml:space="preserve"> Finland </w:t>
      </w:r>
      <w:r w:rsidR="00DB3308">
        <w:rPr>
          <w:rFonts w:ascii="Garamond" w:hAnsi="Garamond"/>
          <w:lang w:val="en-GB"/>
        </w:rPr>
        <w:t>wishes</w:t>
      </w:r>
      <w:r w:rsidR="00747B47">
        <w:rPr>
          <w:rFonts w:ascii="Garamond" w:hAnsi="Garamond"/>
          <w:lang w:val="en-GB"/>
        </w:rPr>
        <w:t xml:space="preserve"> to boost its role in wider Baltic Sea cooperation. By setting for itself similar goals, Finland intends to actively support </w:t>
      </w:r>
      <w:r w:rsidR="00643D0B">
        <w:rPr>
          <w:rFonts w:ascii="Garamond" w:hAnsi="Garamond"/>
          <w:lang w:val="en-GB"/>
        </w:rPr>
        <w:t xml:space="preserve">and contribute to achieving </w:t>
      </w:r>
      <w:r w:rsidR="00747B47">
        <w:rPr>
          <w:rFonts w:ascii="Garamond" w:hAnsi="Garamond"/>
          <w:lang w:val="en-GB"/>
        </w:rPr>
        <w:t>the wider regional goals</w:t>
      </w:r>
      <w:r w:rsidR="003D3A9C">
        <w:rPr>
          <w:rFonts w:ascii="Garamond" w:hAnsi="Garamond"/>
          <w:lang w:val="en-GB"/>
        </w:rPr>
        <w:t xml:space="preserve"> </w:t>
      </w:r>
      <w:r w:rsidR="00643D0B">
        <w:rPr>
          <w:rFonts w:ascii="Garamond" w:hAnsi="Garamond"/>
          <w:lang w:val="en-GB"/>
        </w:rPr>
        <w:t>set</w:t>
      </w:r>
      <w:r w:rsidR="003D3A9C">
        <w:rPr>
          <w:rFonts w:ascii="Garamond" w:hAnsi="Garamond"/>
          <w:lang w:val="en-GB"/>
        </w:rPr>
        <w:t xml:space="preserve"> by all the countries of the region</w:t>
      </w:r>
      <w:r w:rsidR="00747B47">
        <w:rPr>
          <w:rFonts w:ascii="Garamond" w:hAnsi="Garamond"/>
          <w:lang w:val="en-GB"/>
        </w:rPr>
        <w:t xml:space="preserve">. </w:t>
      </w:r>
      <w:r w:rsidR="00643D0B">
        <w:rPr>
          <w:rFonts w:ascii="Garamond" w:hAnsi="Garamond"/>
          <w:lang w:val="en-GB"/>
        </w:rPr>
        <w:t xml:space="preserve">However, </w:t>
      </w:r>
      <w:r w:rsidR="008C48D5">
        <w:rPr>
          <w:rFonts w:ascii="Garamond" w:hAnsi="Garamond"/>
          <w:lang w:val="en-GB"/>
        </w:rPr>
        <w:t xml:space="preserve">despite these overall positive commitments to regional cooperation </w:t>
      </w:r>
      <w:r w:rsidR="00EE568A">
        <w:rPr>
          <w:rFonts w:ascii="Garamond" w:hAnsi="Garamond"/>
          <w:lang w:val="en-GB"/>
        </w:rPr>
        <w:t>few</w:t>
      </w:r>
      <w:r w:rsidR="00643D0B">
        <w:rPr>
          <w:rFonts w:ascii="Garamond" w:hAnsi="Garamond"/>
          <w:lang w:val="en-GB"/>
        </w:rPr>
        <w:t xml:space="preserve"> concrete </w:t>
      </w:r>
      <w:r w:rsidR="00EE568A">
        <w:rPr>
          <w:rFonts w:ascii="Garamond" w:hAnsi="Garamond"/>
          <w:lang w:val="en-GB"/>
        </w:rPr>
        <w:t xml:space="preserve">statements </w:t>
      </w:r>
      <w:r w:rsidR="00643D0B">
        <w:rPr>
          <w:rFonts w:ascii="Garamond" w:hAnsi="Garamond"/>
          <w:lang w:val="en-GB"/>
        </w:rPr>
        <w:t>ha</w:t>
      </w:r>
      <w:r w:rsidR="00EE568A">
        <w:rPr>
          <w:rFonts w:ascii="Garamond" w:hAnsi="Garamond"/>
          <w:lang w:val="en-GB"/>
        </w:rPr>
        <w:t>ve</w:t>
      </w:r>
      <w:r w:rsidR="00643D0B">
        <w:rPr>
          <w:rFonts w:ascii="Garamond" w:hAnsi="Garamond"/>
          <w:lang w:val="en-GB"/>
        </w:rPr>
        <w:t xml:space="preserve"> been </w:t>
      </w:r>
      <w:r w:rsidR="00DB3308">
        <w:rPr>
          <w:rFonts w:ascii="Garamond" w:hAnsi="Garamond"/>
          <w:lang w:val="en-GB"/>
        </w:rPr>
        <w:t>made</w:t>
      </w:r>
      <w:r w:rsidR="00643D0B">
        <w:rPr>
          <w:rFonts w:ascii="Garamond" w:hAnsi="Garamond"/>
          <w:lang w:val="en-GB"/>
        </w:rPr>
        <w:t xml:space="preserve"> </w:t>
      </w:r>
      <w:r w:rsidR="008C48D5">
        <w:rPr>
          <w:rFonts w:ascii="Garamond" w:hAnsi="Garamond"/>
          <w:lang w:val="en-GB"/>
        </w:rPr>
        <w:t xml:space="preserve">on </w:t>
      </w:r>
      <w:r w:rsidR="00643D0B">
        <w:rPr>
          <w:rFonts w:ascii="Garamond" w:hAnsi="Garamond"/>
          <w:lang w:val="en-GB"/>
        </w:rPr>
        <w:t xml:space="preserve">how overall </w:t>
      </w:r>
      <w:r w:rsidR="00643D0B">
        <w:rPr>
          <w:rFonts w:ascii="Garamond" w:hAnsi="Garamond"/>
          <w:lang w:val="en-GB"/>
        </w:rPr>
        <w:lastRenderedPageBreak/>
        <w:t xml:space="preserve">regional cooperation could be intensified and improved and how tension could be decreased and trust rebuilt.  </w:t>
      </w:r>
    </w:p>
    <w:p w:rsidR="002906B0" w:rsidRDefault="002906B0" w:rsidP="008C48D5">
      <w:pPr>
        <w:jc w:val="both"/>
        <w:rPr>
          <w:rFonts w:ascii="Garamond" w:hAnsi="Garamond"/>
          <w:lang w:val="en-GB"/>
        </w:rPr>
      </w:pPr>
    </w:p>
    <w:p w:rsidR="001D4A8F" w:rsidRPr="00F02039" w:rsidRDefault="00CC5855" w:rsidP="008C48D5">
      <w:pPr>
        <w:jc w:val="both"/>
        <w:rPr>
          <w:rFonts w:ascii="Garamond" w:hAnsi="Garamond"/>
          <w:lang w:val="en-GB"/>
        </w:rPr>
      </w:pPr>
      <w:r w:rsidRPr="00F02039">
        <w:rPr>
          <w:rFonts w:ascii="Garamond" w:hAnsi="Garamond"/>
          <w:lang w:val="en-GB"/>
        </w:rPr>
        <w:t xml:space="preserve">Many governments generally support the resolution’s request to strengthen the Helsinki Commission (HELCOM) by carrying out its Baltic Sea Action Plan (Paragraph 2). Amongst others, the government of Mecklenburg-Vorpommern stresses that it “ambitiously implements the HELCOM Baltic Sea Action Plan”. Indeed, many other governments report on national projects to this effect. The Polish government, for example, reports that in 2017 it adopted a National Program for the Protection of Marine Waters. The Program encompasses a set of measures in order to safeguard the environmental status of the marine waters. </w:t>
      </w:r>
      <w:r w:rsidR="001D4A8F">
        <w:rPr>
          <w:rFonts w:ascii="Garamond" w:hAnsi="Garamond"/>
          <w:lang w:val="en-GB"/>
        </w:rPr>
        <w:t xml:space="preserve">Latvia lists within this context for example its Water Services Law, its 2017-2020 Programme for a good environmental status of Latvia’s marine waters and the State Research Programme “the value and dynamic of Latvia’s ecosystems under changing climate”. Latvia’s annual campaign “My Sea” </w:t>
      </w:r>
      <w:r w:rsidR="00C206F3">
        <w:rPr>
          <w:rFonts w:ascii="Garamond" w:hAnsi="Garamond"/>
          <w:lang w:val="en-GB"/>
        </w:rPr>
        <w:t>is said to have been</w:t>
      </w:r>
      <w:r w:rsidR="001D4A8F">
        <w:rPr>
          <w:rFonts w:ascii="Garamond" w:hAnsi="Garamond"/>
          <w:lang w:val="en-GB"/>
        </w:rPr>
        <w:t xml:space="preserve"> an efficient instrument </w:t>
      </w:r>
      <w:r w:rsidR="00C206F3">
        <w:rPr>
          <w:rFonts w:ascii="Garamond" w:hAnsi="Garamond"/>
          <w:lang w:val="en-GB"/>
        </w:rPr>
        <w:t xml:space="preserve">since 2012 </w:t>
      </w:r>
      <w:r w:rsidR="001D4A8F">
        <w:rPr>
          <w:rFonts w:ascii="Garamond" w:hAnsi="Garamond"/>
          <w:lang w:val="en-GB"/>
        </w:rPr>
        <w:t>in raising public awareness, data collection and coastal policy development work</w:t>
      </w:r>
      <w:r w:rsidR="00DB3308">
        <w:rPr>
          <w:rFonts w:ascii="Garamond" w:hAnsi="Garamond"/>
          <w:lang w:val="en-GB"/>
        </w:rPr>
        <w:t>. It</w:t>
      </w:r>
      <w:r w:rsidR="001D4A8F">
        <w:rPr>
          <w:rFonts w:ascii="Garamond" w:hAnsi="Garamond"/>
          <w:lang w:val="en-GB"/>
        </w:rPr>
        <w:t xml:space="preserve"> has become a backbone of emerging national policies regarding marine litter. </w:t>
      </w:r>
    </w:p>
    <w:p w:rsidR="001D4A8F" w:rsidRDefault="001D4A8F" w:rsidP="008C48D5">
      <w:pPr>
        <w:jc w:val="both"/>
        <w:rPr>
          <w:rFonts w:ascii="Garamond" w:hAnsi="Garamond"/>
          <w:lang w:val="en-GB"/>
        </w:rPr>
      </w:pPr>
    </w:p>
    <w:p w:rsidR="00CC5855" w:rsidRPr="00F02039" w:rsidRDefault="00964E04" w:rsidP="008C48D5">
      <w:pPr>
        <w:jc w:val="both"/>
        <w:rPr>
          <w:rFonts w:ascii="Garamond" w:hAnsi="Garamond"/>
          <w:lang w:val="en-GB"/>
        </w:rPr>
      </w:pPr>
      <w:r>
        <w:rPr>
          <w:rFonts w:ascii="Garamond" w:hAnsi="Garamond"/>
          <w:lang w:val="en-GB"/>
        </w:rPr>
        <w:t>Various</w:t>
      </w:r>
      <w:r w:rsidR="00CC5855" w:rsidRPr="00F02039">
        <w:rPr>
          <w:rFonts w:ascii="Garamond" w:hAnsi="Garamond"/>
          <w:lang w:val="en-GB"/>
        </w:rPr>
        <w:t xml:space="preserve"> projects mentioned in the statements are often linked to the HELCOM Ministerial Meeting which was held in March 2018. Several governments (e.g. Lithuania) express their hope that the Ministerial Meeting will assess and continue the progress made as well as update the Baltic Sea Action Plan.</w:t>
      </w:r>
      <w:r w:rsidR="0074539C">
        <w:rPr>
          <w:rFonts w:ascii="Garamond" w:hAnsi="Garamond"/>
          <w:lang w:val="en-GB"/>
        </w:rPr>
        <w:t xml:space="preserve"> Latvia </w:t>
      </w:r>
      <w:r w:rsidR="00C2531E">
        <w:rPr>
          <w:rFonts w:ascii="Garamond" w:hAnsi="Garamond"/>
          <w:lang w:val="en-GB"/>
        </w:rPr>
        <w:t>expresses its confidence that the full implementation of the Baltic Sea Action Plan will be able to deliver to the UN Sustainable Development Agenda 20</w:t>
      </w:r>
      <w:r w:rsidR="00EE568A">
        <w:rPr>
          <w:rFonts w:ascii="Garamond" w:hAnsi="Garamond"/>
          <w:lang w:val="en-GB"/>
        </w:rPr>
        <w:t>30</w:t>
      </w:r>
      <w:r w:rsidR="00C2531E">
        <w:rPr>
          <w:rFonts w:ascii="Garamond" w:hAnsi="Garamond"/>
          <w:lang w:val="en-GB"/>
        </w:rPr>
        <w:t xml:space="preserve"> </w:t>
      </w:r>
      <w:r w:rsidR="00EE568A">
        <w:rPr>
          <w:rFonts w:ascii="Garamond" w:hAnsi="Garamond"/>
          <w:lang w:val="en-GB"/>
        </w:rPr>
        <w:t>through</w:t>
      </w:r>
      <w:r w:rsidR="00C2531E">
        <w:rPr>
          <w:rFonts w:ascii="Garamond" w:hAnsi="Garamond"/>
          <w:lang w:val="en-GB"/>
        </w:rPr>
        <w:t xml:space="preserve"> sharing regional experiences in implement</w:t>
      </w:r>
      <w:r w:rsidR="00EE568A">
        <w:rPr>
          <w:rFonts w:ascii="Garamond" w:hAnsi="Garamond"/>
          <w:lang w:val="en-GB"/>
        </w:rPr>
        <w:t>ing</w:t>
      </w:r>
      <w:r w:rsidR="00C2531E">
        <w:rPr>
          <w:rFonts w:ascii="Garamond" w:hAnsi="Garamond"/>
          <w:lang w:val="en-GB"/>
        </w:rPr>
        <w:t xml:space="preserve"> international requirements toward the reduction of pollution from shipping. </w:t>
      </w:r>
      <w:r w:rsidR="001D4A8F">
        <w:rPr>
          <w:rFonts w:ascii="Garamond" w:hAnsi="Garamond"/>
          <w:lang w:val="en-GB"/>
        </w:rPr>
        <w:t xml:space="preserve">The German Federal Government </w:t>
      </w:r>
      <w:r w:rsidR="00754421">
        <w:rPr>
          <w:rFonts w:ascii="Garamond" w:hAnsi="Garamond"/>
          <w:lang w:val="en-GB"/>
        </w:rPr>
        <w:t>explicitly states that the in the past unsatisfactory cooperation between HELCOM and the EUSBSR is improving, strengthening HELCOM’s function as</w:t>
      </w:r>
      <w:r w:rsidR="00A8724C">
        <w:rPr>
          <w:rFonts w:ascii="Garamond" w:hAnsi="Garamond"/>
          <w:lang w:val="en-GB"/>
        </w:rPr>
        <w:t xml:space="preserve"> the</w:t>
      </w:r>
      <w:r w:rsidR="00754421">
        <w:rPr>
          <w:rFonts w:ascii="Garamond" w:hAnsi="Garamond"/>
          <w:lang w:val="en-GB"/>
        </w:rPr>
        <w:t xml:space="preserve"> focal point for marine protection in the BSR.</w:t>
      </w:r>
    </w:p>
    <w:p w:rsidR="001D4A8F" w:rsidRDefault="001D4A8F" w:rsidP="008C48D5">
      <w:pPr>
        <w:jc w:val="both"/>
        <w:rPr>
          <w:rFonts w:ascii="Garamond" w:hAnsi="Garamond"/>
          <w:lang w:val="en-GB"/>
        </w:rPr>
      </w:pPr>
    </w:p>
    <w:p w:rsidR="00CC5855" w:rsidRPr="00F02039" w:rsidRDefault="00CC5855" w:rsidP="008C48D5">
      <w:pPr>
        <w:jc w:val="both"/>
        <w:rPr>
          <w:rFonts w:ascii="Garamond" w:hAnsi="Garamond"/>
          <w:lang w:val="en-GB"/>
        </w:rPr>
      </w:pPr>
      <w:r w:rsidRPr="00F02039">
        <w:rPr>
          <w:rFonts w:ascii="Garamond" w:hAnsi="Garamond"/>
          <w:lang w:val="en-GB"/>
        </w:rPr>
        <w:t xml:space="preserve">However, no concrete proposal is suggested by the governments on how exactly HELCOM could be strengthened in the future. Neither do they indicate what conceptual and/or material resources they would provide in order to advance this goal. Moreover, despite </w:t>
      </w:r>
      <w:r w:rsidR="00EE568A">
        <w:rPr>
          <w:rFonts w:ascii="Garamond" w:hAnsi="Garamond"/>
          <w:lang w:val="en-GB"/>
        </w:rPr>
        <w:t>the</w:t>
      </w:r>
      <w:r w:rsidRPr="00F02039">
        <w:rPr>
          <w:rFonts w:ascii="Garamond" w:hAnsi="Garamond"/>
          <w:lang w:val="en-GB"/>
        </w:rPr>
        <w:t xml:space="preserve"> general support for HELCOM and its Baltic Sea Action Plan, not all governments seem to agree on specific issues. For example, the Russian government explicitly maintains that it is “against the introduction of any mandatory requirements for navigation with respect to reducing the level of underwater noise” (in reference to Paragraph 3). Rather it insists on the necessity for more scientific research and the search for new technologies in this matter.</w:t>
      </w:r>
    </w:p>
    <w:p w:rsidR="00CC5855" w:rsidRPr="00F02039" w:rsidRDefault="00CC5855" w:rsidP="008C48D5">
      <w:pPr>
        <w:jc w:val="both"/>
        <w:rPr>
          <w:rFonts w:ascii="Garamond" w:hAnsi="Garamond"/>
          <w:lang w:val="en-GB"/>
        </w:rPr>
      </w:pPr>
    </w:p>
    <w:p w:rsidR="00CC5855" w:rsidRPr="00F02039" w:rsidRDefault="00CC5855" w:rsidP="008C48D5">
      <w:pPr>
        <w:jc w:val="both"/>
        <w:rPr>
          <w:rFonts w:ascii="Garamond" w:hAnsi="Garamond"/>
          <w:lang w:val="en-GB"/>
        </w:rPr>
      </w:pPr>
      <w:r w:rsidRPr="00F02039">
        <w:rPr>
          <w:rFonts w:ascii="Garamond" w:hAnsi="Garamond"/>
          <w:lang w:val="en-GB"/>
        </w:rPr>
        <w:t xml:space="preserve">The governments list a great variety of national, bilateral and regional activities on jointly promoting tourism in the Baltic Sea Region (see also section 4.4.). In this context we find projects particularly noteworthy which are “based on cultural and natural heritage” (Paragraph 5). The government of Russia, for example, reports on a plan to implement an international traveling exhibition “Vikings in the Baltic – Century of Innovations” together with Denmark and Sweden within the Partnership Network of Museums (founded in 2011). </w:t>
      </w:r>
      <w:r w:rsidR="001D4A8F">
        <w:rPr>
          <w:rFonts w:ascii="Garamond" w:hAnsi="Garamond"/>
          <w:lang w:val="en-GB"/>
        </w:rPr>
        <w:t xml:space="preserve">Hamburg emphasises a joint marketing project with Copenhagen within the framework of the “Hanseatic League of Modern Times”. </w:t>
      </w:r>
      <w:r w:rsidRPr="00F02039">
        <w:rPr>
          <w:rFonts w:ascii="Garamond" w:hAnsi="Garamond"/>
          <w:lang w:val="en-GB"/>
        </w:rPr>
        <w:t>Such transnational activities support not only a common tourist brand, but also demonstrate the rich historical foundation of today’s multifaceted cooperation in the region.</w:t>
      </w:r>
      <w:r w:rsidR="00C24E76">
        <w:rPr>
          <w:rFonts w:ascii="Garamond" w:hAnsi="Garamond"/>
          <w:lang w:val="en-GB"/>
        </w:rPr>
        <w:t xml:space="preserve"> Rather remarkable</w:t>
      </w:r>
      <w:r w:rsidR="00C206F3">
        <w:rPr>
          <w:rFonts w:ascii="Garamond" w:hAnsi="Garamond"/>
          <w:lang w:val="en-GB"/>
        </w:rPr>
        <w:t xml:space="preserve"> though</w:t>
      </w:r>
      <w:r w:rsidR="00C24E76">
        <w:rPr>
          <w:rFonts w:ascii="Garamond" w:hAnsi="Garamond"/>
          <w:lang w:val="en-GB"/>
        </w:rPr>
        <w:t xml:space="preserve"> is the comment of Estonia’s Ministry of Economics and </w:t>
      </w:r>
      <w:r w:rsidR="002025F9">
        <w:rPr>
          <w:rFonts w:ascii="Garamond" w:hAnsi="Garamond"/>
          <w:lang w:val="en-GB"/>
        </w:rPr>
        <w:t>C</w:t>
      </w:r>
      <w:r w:rsidR="00C24E76">
        <w:rPr>
          <w:rFonts w:ascii="Garamond" w:hAnsi="Garamond"/>
          <w:lang w:val="en-GB"/>
        </w:rPr>
        <w:t xml:space="preserve">ommunications on the idea to create a common Baltic Sea Brand: “We do not particularly support the idea of a common Baltic Sea Brand because visitors are not interested in a Baltic Sea as a travel destination. They are more interested in different smaller regions or countries (cities) located around the Baltic Sea”. This is a rare example of a government explicitly rejecting a BSPC </w:t>
      </w:r>
      <w:r w:rsidR="00A8724C">
        <w:rPr>
          <w:rFonts w:ascii="Garamond" w:hAnsi="Garamond"/>
          <w:lang w:val="en-GB"/>
        </w:rPr>
        <w:t>recommendation</w:t>
      </w:r>
      <w:r w:rsidR="00C24E76">
        <w:rPr>
          <w:rFonts w:ascii="Garamond" w:hAnsi="Garamond"/>
          <w:lang w:val="en-GB"/>
        </w:rPr>
        <w:t xml:space="preserve">.    </w:t>
      </w:r>
    </w:p>
    <w:p w:rsidR="00CC5855" w:rsidRPr="00F02039" w:rsidRDefault="00CC5855" w:rsidP="008C48D5">
      <w:pPr>
        <w:jc w:val="both"/>
        <w:rPr>
          <w:rFonts w:ascii="Garamond" w:hAnsi="Garamond"/>
          <w:lang w:val="en-GB"/>
        </w:rPr>
      </w:pPr>
    </w:p>
    <w:p w:rsidR="00CC5855" w:rsidRDefault="003D3A9C" w:rsidP="008C48D5">
      <w:pPr>
        <w:jc w:val="both"/>
        <w:rPr>
          <w:rFonts w:ascii="Garamond" w:hAnsi="Garamond"/>
          <w:lang w:val="en-GB"/>
        </w:rPr>
      </w:pPr>
      <w:r>
        <w:rPr>
          <w:rFonts w:ascii="Garamond" w:hAnsi="Garamond"/>
          <w:lang w:val="en-GB"/>
        </w:rPr>
        <w:lastRenderedPageBreak/>
        <w:t>Most</w:t>
      </w:r>
      <w:r w:rsidR="00CC5855" w:rsidRPr="00F02039">
        <w:rPr>
          <w:rFonts w:ascii="Garamond" w:hAnsi="Garamond"/>
          <w:lang w:val="en-GB"/>
        </w:rPr>
        <w:t xml:space="preserve"> governments do not explicitly relate their many projects to the existing macro-regional strategies</w:t>
      </w:r>
      <w:r w:rsidR="008C48D5">
        <w:rPr>
          <w:rFonts w:ascii="Garamond" w:hAnsi="Garamond"/>
          <w:lang w:val="en-GB"/>
        </w:rPr>
        <w:t xml:space="preserve"> (</w:t>
      </w:r>
      <w:r w:rsidR="00CC5855" w:rsidRPr="00F02039">
        <w:rPr>
          <w:rFonts w:ascii="Garamond" w:hAnsi="Garamond"/>
          <w:lang w:val="en-GB"/>
        </w:rPr>
        <w:t>EU Strategy for the Baltic Sea Region</w:t>
      </w:r>
      <w:r w:rsidR="008C48D5">
        <w:rPr>
          <w:rFonts w:ascii="Garamond" w:hAnsi="Garamond"/>
          <w:lang w:val="en-GB"/>
        </w:rPr>
        <w:t>)</w:t>
      </w:r>
      <w:r w:rsidR="00CC5855" w:rsidRPr="00F02039">
        <w:rPr>
          <w:rFonts w:ascii="Garamond" w:hAnsi="Garamond"/>
          <w:lang w:val="en-GB"/>
        </w:rPr>
        <w:t xml:space="preserve"> (Paragraph 1). As the Resolution, we believe that the macro-regional strategies “offer</w:t>
      </w:r>
      <w:r w:rsidR="00CC5855" w:rsidRPr="00F02039">
        <w:rPr>
          <w:lang w:val="en-GB"/>
        </w:rPr>
        <w:t xml:space="preserve"> </w:t>
      </w:r>
      <w:r w:rsidR="00CC5855" w:rsidRPr="00F02039">
        <w:rPr>
          <w:rFonts w:ascii="Garamond" w:hAnsi="Garamond"/>
          <w:lang w:val="en-GB"/>
        </w:rPr>
        <w:t>efficient instruments to improve relations between neighbouring countries”. Against this background, it is necessary to aim at better embedding – conceptually as well as material – the activities in the context of the macro-regional strategies where common interests exist and mutual synergies could be achieved.</w:t>
      </w:r>
    </w:p>
    <w:p w:rsidR="00747B47" w:rsidRDefault="00747B47" w:rsidP="008C48D5">
      <w:pPr>
        <w:jc w:val="both"/>
        <w:rPr>
          <w:rFonts w:ascii="Garamond" w:hAnsi="Garamond"/>
          <w:lang w:val="en-GB"/>
        </w:rPr>
      </w:pPr>
    </w:p>
    <w:p w:rsidR="00747B47" w:rsidRPr="00F02039" w:rsidRDefault="00747B47" w:rsidP="008C48D5">
      <w:pPr>
        <w:jc w:val="both"/>
        <w:rPr>
          <w:rFonts w:ascii="Garamond" w:hAnsi="Garamond"/>
          <w:lang w:val="en-GB"/>
        </w:rPr>
      </w:pPr>
    </w:p>
    <w:p w:rsidR="004A52BA" w:rsidRPr="001B4306" w:rsidRDefault="000D22ED" w:rsidP="008C48D5">
      <w:pPr>
        <w:pStyle w:val="Listenabsatz"/>
        <w:numPr>
          <w:ilvl w:val="1"/>
          <w:numId w:val="9"/>
        </w:numPr>
        <w:jc w:val="both"/>
        <w:rPr>
          <w:rFonts w:ascii="Garamond" w:hAnsi="Garamond"/>
          <w:b/>
          <w:sz w:val="26"/>
          <w:szCs w:val="26"/>
          <w:lang w:val="en-GB"/>
        </w:rPr>
      </w:pPr>
      <w:r w:rsidRPr="001B4306">
        <w:rPr>
          <w:rFonts w:ascii="Garamond" w:hAnsi="Garamond"/>
          <w:b/>
          <w:sz w:val="26"/>
          <w:szCs w:val="26"/>
          <w:lang w:val="en-GB"/>
        </w:rPr>
        <w:t>Assessment regarding the chapter</w:t>
      </w:r>
      <w:r w:rsidR="007872CE" w:rsidRPr="001B4306">
        <w:rPr>
          <w:rFonts w:ascii="Garamond" w:hAnsi="Garamond"/>
          <w:b/>
          <w:sz w:val="26"/>
          <w:szCs w:val="26"/>
          <w:lang w:val="en-GB"/>
        </w:rPr>
        <w:t xml:space="preserve"> </w:t>
      </w:r>
      <w:r w:rsidRPr="001B4306">
        <w:rPr>
          <w:rFonts w:ascii="Garamond" w:hAnsi="Garamond"/>
          <w:b/>
          <w:sz w:val="26"/>
          <w:szCs w:val="26"/>
          <w:lang w:val="en-GB"/>
        </w:rPr>
        <w:t>“</w:t>
      </w:r>
      <w:r w:rsidR="006A0A19">
        <w:rPr>
          <w:rFonts w:ascii="Garamond" w:hAnsi="Garamond"/>
          <w:b/>
          <w:sz w:val="26"/>
          <w:szCs w:val="26"/>
          <w:lang w:val="en-GB"/>
        </w:rPr>
        <w:t>Democratic Participation and the Digital Age</w:t>
      </w:r>
      <w:r w:rsidRPr="001B4306">
        <w:rPr>
          <w:rFonts w:ascii="Garamond" w:hAnsi="Garamond"/>
          <w:b/>
          <w:sz w:val="26"/>
          <w:szCs w:val="26"/>
          <w:lang w:val="en-GB"/>
        </w:rPr>
        <w:t>”</w:t>
      </w:r>
    </w:p>
    <w:p w:rsidR="000D22ED" w:rsidRDefault="000D22ED" w:rsidP="008C48D5">
      <w:pPr>
        <w:jc w:val="both"/>
        <w:rPr>
          <w:rFonts w:ascii="Garamond" w:hAnsi="Garamond"/>
          <w:sz w:val="22"/>
          <w:szCs w:val="22"/>
          <w:lang w:val="en-GB"/>
        </w:rPr>
      </w:pPr>
    </w:p>
    <w:p w:rsidR="000A5C22" w:rsidRDefault="003D3A9C" w:rsidP="008C48D5">
      <w:pPr>
        <w:jc w:val="both"/>
        <w:rPr>
          <w:rFonts w:ascii="Garamond" w:hAnsi="Garamond"/>
          <w:lang w:val="en-GB"/>
        </w:rPr>
      </w:pPr>
      <w:r>
        <w:rPr>
          <w:rFonts w:ascii="Garamond" w:hAnsi="Garamond"/>
          <w:lang w:val="en-GB"/>
        </w:rPr>
        <w:t xml:space="preserve">This chapter of the Resolution contains a number of very important topics now and in the future, such as democratic participation, the involvement of the youth as well as the opportunities but also risks of digitalisation. Most governments address at least a number of </w:t>
      </w:r>
      <w:r w:rsidR="0061332D">
        <w:rPr>
          <w:rFonts w:ascii="Garamond" w:hAnsi="Garamond"/>
          <w:lang w:val="en-GB"/>
        </w:rPr>
        <w:t>p</w:t>
      </w:r>
      <w:r>
        <w:rPr>
          <w:rFonts w:ascii="Garamond" w:hAnsi="Garamond"/>
          <w:lang w:val="en-GB"/>
        </w:rPr>
        <w:t xml:space="preserve">aragraphs and give examples for national measures and initiatives. </w:t>
      </w:r>
      <w:r w:rsidR="000A5C22">
        <w:rPr>
          <w:rFonts w:ascii="Garamond" w:hAnsi="Garamond"/>
          <w:lang w:val="en-GB"/>
        </w:rPr>
        <w:t xml:space="preserve">There are, however, also at least two governments that do not address this chapter at all. </w:t>
      </w:r>
    </w:p>
    <w:p w:rsidR="0061332D" w:rsidRDefault="0061332D" w:rsidP="008C48D5">
      <w:pPr>
        <w:jc w:val="both"/>
        <w:rPr>
          <w:rFonts w:ascii="Garamond" w:hAnsi="Garamond"/>
          <w:lang w:val="en-GB"/>
        </w:rPr>
      </w:pPr>
    </w:p>
    <w:p w:rsidR="005B6E7B" w:rsidRPr="000608A4" w:rsidRDefault="007C5D0E" w:rsidP="008C48D5">
      <w:pPr>
        <w:jc w:val="both"/>
        <w:rPr>
          <w:rFonts w:ascii="Garamond" w:hAnsi="Garamond"/>
          <w:lang w:val="en-US"/>
        </w:rPr>
      </w:pPr>
      <w:r w:rsidRPr="009F479B">
        <w:rPr>
          <w:rFonts w:ascii="Garamond" w:hAnsi="Garamond"/>
          <w:lang w:val="en-GB"/>
        </w:rPr>
        <w:t>I</w:t>
      </w:r>
      <w:r w:rsidR="009F479B" w:rsidRPr="009F479B">
        <w:rPr>
          <w:rFonts w:ascii="Garamond" w:hAnsi="Garamond"/>
          <w:lang w:val="en-GB"/>
        </w:rPr>
        <w:t>n</w:t>
      </w:r>
      <w:r w:rsidRPr="009F479B">
        <w:rPr>
          <w:rFonts w:ascii="Garamond" w:hAnsi="Garamond"/>
          <w:lang w:val="en-GB"/>
        </w:rPr>
        <w:t xml:space="preserve"> term</w:t>
      </w:r>
      <w:r w:rsidR="00DE1C80">
        <w:rPr>
          <w:rFonts w:ascii="Garamond" w:hAnsi="Garamond"/>
          <w:lang w:val="en-GB"/>
        </w:rPr>
        <w:t>s</w:t>
      </w:r>
      <w:r w:rsidRPr="009F479B">
        <w:rPr>
          <w:rFonts w:ascii="Garamond" w:hAnsi="Garamond"/>
          <w:lang w:val="en-GB"/>
        </w:rPr>
        <w:t xml:space="preserve"> of democratic participation (Paragraph 6) the Government of </w:t>
      </w:r>
      <w:proofErr w:type="spellStart"/>
      <w:r w:rsidRPr="009F479B">
        <w:rPr>
          <w:rFonts w:ascii="Garamond" w:hAnsi="Garamond"/>
          <w:lang w:val="en-GB"/>
        </w:rPr>
        <w:t>Åland</w:t>
      </w:r>
      <w:proofErr w:type="spellEnd"/>
      <w:r w:rsidRPr="009F479B">
        <w:rPr>
          <w:rFonts w:ascii="Garamond" w:hAnsi="Garamond"/>
          <w:lang w:val="en-GB"/>
        </w:rPr>
        <w:t xml:space="preserve"> refers to its decision to </w:t>
      </w:r>
      <w:r w:rsidR="002F6C65" w:rsidRPr="009F479B">
        <w:rPr>
          <w:rFonts w:ascii="Garamond" w:hAnsi="Garamond"/>
          <w:lang w:val="en-GB"/>
        </w:rPr>
        <w:t xml:space="preserve">make online voting in future elections possible (from 2019 for voters residing outside the </w:t>
      </w:r>
      <w:proofErr w:type="spellStart"/>
      <w:r w:rsidR="002F6C65" w:rsidRPr="009F479B">
        <w:rPr>
          <w:rFonts w:ascii="Garamond" w:hAnsi="Garamond"/>
          <w:lang w:val="en-GB"/>
        </w:rPr>
        <w:t>Åland</w:t>
      </w:r>
      <w:proofErr w:type="spellEnd"/>
      <w:r w:rsidR="002F6C65" w:rsidRPr="009F479B">
        <w:rPr>
          <w:rFonts w:ascii="Garamond" w:hAnsi="Garamond"/>
          <w:lang w:val="en-GB"/>
        </w:rPr>
        <w:t xml:space="preserve"> Islands, from 2023 for all voters). The Government hopes that this will mean increased civil participation, also </w:t>
      </w:r>
      <w:r w:rsidR="0061332D">
        <w:rPr>
          <w:rFonts w:ascii="Garamond" w:hAnsi="Garamond"/>
          <w:lang w:val="en-GB"/>
        </w:rPr>
        <w:t>of</w:t>
      </w:r>
      <w:r w:rsidR="002F6C65" w:rsidRPr="009F479B">
        <w:rPr>
          <w:rFonts w:ascii="Garamond" w:hAnsi="Garamond"/>
          <w:lang w:val="en-GB"/>
        </w:rPr>
        <w:t xml:space="preserve"> citizens living elsewhere and disabled persons, and democracy and will create good conditions for dialogue and activity with modern methods. </w:t>
      </w:r>
      <w:r w:rsidR="009F479B" w:rsidRPr="009F479B">
        <w:rPr>
          <w:rFonts w:ascii="Garamond" w:hAnsi="Garamond"/>
          <w:lang w:val="en-GB"/>
        </w:rPr>
        <w:t xml:space="preserve">The Parliament of Lithuania approved the concept of </w:t>
      </w:r>
      <w:r w:rsidR="009F479B">
        <w:rPr>
          <w:rFonts w:ascii="Garamond" w:hAnsi="Garamond"/>
          <w:lang w:val="en-GB"/>
        </w:rPr>
        <w:t xml:space="preserve">a </w:t>
      </w:r>
      <w:r w:rsidR="009F479B" w:rsidRPr="009F479B">
        <w:rPr>
          <w:rFonts w:ascii="Garamond" w:hAnsi="Garamond"/>
          <w:lang w:val="en-GB"/>
        </w:rPr>
        <w:t>Public judge institute in the courts</w:t>
      </w:r>
      <w:r w:rsidR="009F479B">
        <w:rPr>
          <w:rFonts w:ascii="Garamond" w:hAnsi="Garamond"/>
          <w:lang w:val="en-GB"/>
        </w:rPr>
        <w:t xml:space="preserve"> to be opened in 2020</w:t>
      </w:r>
      <w:r w:rsidR="009F479B" w:rsidRPr="009F479B">
        <w:rPr>
          <w:rFonts w:ascii="Garamond" w:hAnsi="Garamond"/>
          <w:lang w:val="en-GB"/>
        </w:rPr>
        <w:t xml:space="preserve">. There is a belief that this institute would increase </w:t>
      </w:r>
      <w:r w:rsidR="009F479B">
        <w:rPr>
          <w:rFonts w:ascii="Garamond" w:hAnsi="Garamond"/>
          <w:lang w:val="en-GB"/>
        </w:rPr>
        <w:t xml:space="preserve">the </w:t>
      </w:r>
      <w:r w:rsidR="009F479B" w:rsidRPr="009F479B">
        <w:rPr>
          <w:rFonts w:ascii="Garamond" w:hAnsi="Garamond"/>
          <w:lang w:val="en-GB"/>
        </w:rPr>
        <w:t xml:space="preserve">public trust in </w:t>
      </w:r>
      <w:r w:rsidR="009F479B">
        <w:rPr>
          <w:rFonts w:ascii="Garamond" w:hAnsi="Garamond"/>
          <w:lang w:val="en-GB"/>
        </w:rPr>
        <w:t xml:space="preserve">the </w:t>
      </w:r>
      <w:r w:rsidR="009F479B" w:rsidRPr="009F479B">
        <w:rPr>
          <w:rFonts w:ascii="Garamond" w:hAnsi="Garamond"/>
          <w:lang w:val="en-GB"/>
        </w:rPr>
        <w:t>courts and</w:t>
      </w:r>
      <w:r w:rsidR="009F479B" w:rsidRPr="000608A4">
        <w:rPr>
          <w:rFonts w:ascii="Garamond" w:hAnsi="Garamond"/>
          <w:lang w:val="en-GB"/>
        </w:rPr>
        <w:t xml:space="preserve"> the legal system, promote the openness in the work of courts and legally educate the society.</w:t>
      </w:r>
      <w:r w:rsidR="005B6E7B" w:rsidRPr="000608A4">
        <w:rPr>
          <w:rFonts w:ascii="Garamond" w:hAnsi="Garamond"/>
          <w:lang w:val="en-GB"/>
        </w:rPr>
        <w:t xml:space="preserve"> Denmark reports on its so-called Disruption Council. This new format is to create a forum to analyse, discuss and offer suggestions for how to create a prosperous Denmark utilising the technical opportunities in ways that benefit all Danes as well as to maintain and expand a dynamic and well-regulated labour market. </w:t>
      </w:r>
      <w:r w:rsidR="00877D9B" w:rsidRPr="000608A4">
        <w:rPr>
          <w:rFonts w:ascii="Garamond" w:hAnsi="Garamond"/>
          <w:lang w:val="en-US"/>
        </w:rPr>
        <w:t xml:space="preserve">The Swedish </w:t>
      </w:r>
      <w:r w:rsidR="00175277" w:rsidRPr="000608A4">
        <w:rPr>
          <w:rFonts w:ascii="Garamond" w:hAnsi="Garamond"/>
          <w:lang w:val="en-US"/>
        </w:rPr>
        <w:t>G</w:t>
      </w:r>
      <w:r w:rsidR="00877D9B" w:rsidRPr="000608A4">
        <w:rPr>
          <w:rFonts w:ascii="Garamond" w:hAnsi="Garamond"/>
          <w:lang w:val="en-US"/>
        </w:rPr>
        <w:t>over</w:t>
      </w:r>
      <w:r w:rsidR="00175277" w:rsidRPr="000608A4">
        <w:rPr>
          <w:rFonts w:ascii="Garamond" w:hAnsi="Garamond"/>
          <w:lang w:val="en-US"/>
        </w:rPr>
        <w:t>n</w:t>
      </w:r>
      <w:r w:rsidR="00877D9B" w:rsidRPr="000608A4">
        <w:rPr>
          <w:rFonts w:ascii="Garamond" w:hAnsi="Garamond"/>
          <w:lang w:val="en-US"/>
        </w:rPr>
        <w:t>m</w:t>
      </w:r>
      <w:r w:rsidR="00175277" w:rsidRPr="000608A4">
        <w:rPr>
          <w:rFonts w:ascii="Garamond" w:hAnsi="Garamond"/>
          <w:lang w:val="en-US"/>
        </w:rPr>
        <w:t>ent</w:t>
      </w:r>
      <w:r w:rsidR="00877D9B" w:rsidRPr="000608A4">
        <w:rPr>
          <w:rFonts w:ascii="Garamond" w:hAnsi="Garamond"/>
          <w:lang w:val="en-US"/>
        </w:rPr>
        <w:t xml:space="preserve"> reports on </w:t>
      </w:r>
      <w:r w:rsidR="00175277" w:rsidRPr="000608A4">
        <w:rPr>
          <w:rFonts w:ascii="Garamond" w:hAnsi="Garamond"/>
          <w:lang w:val="en-US"/>
        </w:rPr>
        <w:t>its</w:t>
      </w:r>
      <w:r w:rsidR="00877D9B" w:rsidRPr="000608A4">
        <w:rPr>
          <w:rFonts w:ascii="Garamond" w:hAnsi="Garamond"/>
          <w:lang w:val="en-US"/>
        </w:rPr>
        <w:t xml:space="preserve"> </w:t>
      </w:r>
      <w:r w:rsidR="007A3C8F">
        <w:rPr>
          <w:rFonts w:ascii="Garamond" w:hAnsi="Garamond"/>
          <w:lang w:val="en-US"/>
        </w:rPr>
        <w:t xml:space="preserve">new </w:t>
      </w:r>
      <w:r w:rsidR="00877D9B" w:rsidRPr="000608A4">
        <w:rPr>
          <w:rFonts w:ascii="Garamond" w:hAnsi="Garamond"/>
          <w:lang w:val="en-US"/>
        </w:rPr>
        <w:t>strateg</w:t>
      </w:r>
      <w:r w:rsidR="00175277" w:rsidRPr="000608A4">
        <w:rPr>
          <w:rFonts w:ascii="Garamond" w:hAnsi="Garamond"/>
          <w:lang w:val="en-US"/>
        </w:rPr>
        <w:t>y</w:t>
      </w:r>
      <w:r w:rsidR="00877D9B" w:rsidRPr="000608A4">
        <w:rPr>
          <w:rFonts w:ascii="Garamond" w:hAnsi="Garamond"/>
          <w:lang w:val="en-US"/>
        </w:rPr>
        <w:t xml:space="preserve"> f</w:t>
      </w:r>
      <w:r w:rsidR="00175277" w:rsidRPr="000608A4">
        <w:rPr>
          <w:rFonts w:ascii="Garamond" w:hAnsi="Garamond"/>
          <w:lang w:val="en-US"/>
        </w:rPr>
        <w:t>o</w:t>
      </w:r>
      <w:r w:rsidR="00877D9B" w:rsidRPr="000608A4">
        <w:rPr>
          <w:rFonts w:ascii="Garamond" w:hAnsi="Garamond"/>
          <w:lang w:val="en-US"/>
        </w:rPr>
        <w:t>r demo</w:t>
      </w:r>
      <w:r w:rsidR="00175277" w:rsidRPr="000608A4">
        <w:rPr>
          <w:rFonts w:ascii="Garamond" w:hAnsi="Garamond"/>
          <w:lang w:val="en-US"/>
        </w:rPr>
        <w:t>c</w:t>
      </w:r>
      <w:r w:rsidR="00877D9B" w:rsidRPr="000608A4">
        <w:rPr>
          <w:rFonts w:ascii="Garamond" w:hAnsi="Garamond"/>
          <w:lang w:val="en-US"/>
        </w:rPr>
        <w:t>ra</w:t>
      </w:r>
      <w:r w:rsidR="00175277" w:rsidRPr="000608A4">
        <w:rPr>
          <w:rFonts w:ascii="Garamond" w:hAnsi="Garamond"/>
          <w:lang w:val="en-US"/>
        </w:rPr>
        <w:t>cy adopted on 20 June 2018</w:t>
      </w:r>
      <w:r w:rsidR="00877D9B" w:rsidRPr="000608A4">
        <w:rPr>
          <w:rFonts w:ascii="Garamond" w:hAnsi="Garamond"/>
          <w:lang w:val="en-US"/>
        </w:rPr>
        <w:t xml:space="preserve">. </w:t>
      </w:r>
      <w:r w:rsidR="00175277" w:rsidRPr="000608A4">
        <w:rPr>
          <w:rFonts w:ascii="Garamond" w:hAnsi="Garamond"/>
          <w:lang w:val="en-US"/>
        </w:rPr>
        <w:t>Here in</w:t>
      </w:r>
      <w:r w:rsidR="00877D9B" w:rsidRPr="000608A4">
        <w:rPr>
          <w:rFonts w:ascii="Garamond" w:hAnsi="Garamond"/>
          <w:lang w:val="en-US"/>
        </w:rPr>
        <w:t xml:space="preserve"> </w:t>
      </w:r>
      <w:r w:rsidR="00175277" w:rsidRPr="000608A4">
        <w:rPr>
          <w:rFonts w:ascii="Garamond" w:hAnsi="Garamond"/>
          <w:lang w:val="en-US"/>
        </w:rPr>
        <w:t>the government identifies</w:t>
      </w:r>
      <w:r w:rsidR="00877D9B" w:rsidRPr="000608A4">
        <w:rPr>
          <w:rFonts w:ascii="Garamond" w:hAnsi="Garamond"/>
          <w:lang w:val="en-US"/>
        </w:rPr>
        <w:t xml:space="preserve"> </w:t>
      </w:r>
      <w:r w:rsidR="00175277" w:rsidRPr="000608A4">
        <w:rPr>
          <w:rFonts w:ascii="Garamond" w:hAnsi="Garamond"/>
          <w:lang w:val="en-US"/>
        </w:rPr>
        <w:t>the current challenges of democracy</w:t>
      </w:r>
      <w:r w:rsidR="00877D9B" w:rsidRPr="000608A4">
        <w:rPr>
          <w:rFonts w:ascii="Garamond" w:hAnsi="Garamond"/>
          <w:lang w:val="en-US"/>
        </w:rPr>
        <w:t xml:space="preserve"> </w:t>
      </w:r>
      <w:r w:rsidR="00175277" w:rsidRPr="000608A4">
        <w:rPr>
          <w:rFonts w:ascii="Garamond" w:hAnsi="Garamond"/>
          <w:lang w:val="en-US"/>
        </w:rPr>
        <w:t>and sets a number of policy priorities</w:t>
      </w:r>
      <w:r w:rsidR="00877D9B" w:rsidRPr="000608A4">
        <w:rPr>
          <w:rFonts w:ascii="Garamond" w:hAnsi="Garamond"/>
          <w:lang w:val="en-US"/>
        </w:rPr>
        <w:t xml:space="preserve">. Furthermore it lists an impressive number of measures </w:t>
      </w:r>
      <w:r w:rsidR="00C15B1A" w:rsidRPr="000608A4">
        <w:rPr>
          <w:rFonts w:ascii="Garamond" w:hAnsi="Garamond"/>
          <w:lang w:val="en-US"/>
        </w:rPr>
        <w:t>to achieve a higher voters’ turnout at elections and to increase</w:t>
      </w:r>
      <w:r w:rsidR="00877D9B" w:rsidRPr="000608A4">
        <w:rPr>
          <w:rFonts w:ascii="Garamond" w:hAnsi="Garamond"/>
          <w:lang w:val="en-US"/>
        </w:rPr>
        <w:t xml:space="preserve"> </w:t>
      </w:r>
      <w:r w:rsidR="00C15B1A" w:rsidRPr="000608A4">
        <w:rPr>
          <w:rFonts w:ascii="Garamond" w:hAnsi="Garamond"/>
          <w:lang w:val="en-US"/>
        </w:rPr>
        <w:t xml:space="preserve">democratic participation in between elections such as a citizen </w:t>
      </w:r>
      <w:r w:rsidR="00877D9B" w:rsidRPr="000608A4">
        <w:rPr>
          <w:rFonts w:ascii="Garamond" w:hAnsi="Garamond"/>
          <w:lang w:val="en-US"/>
        </w:rPr>
        <w:t xml:space="preserve">dialog </w:t>
      </w:r>
      <w:r w:rsidR="00C15B1A" w:rsidRPr="000608A4">
        <w:rPr>
          <w:rFonts w:ascii="Garamond" w:hAnsi="Garamond"/>
          <w:lang w:val="en-US"/>
        </w:rPr>
        <w:t>on</w:t>
      </w:r>
      <w:r w:rsidR="00877D9B" w:rsidRPr="000608A4">
        <w:rPr>
          <w:rFonts w:ascii="Garamond" w:hAnsi="Garamond"/>
          <w:lang w:val="en-US"/>
        </w:rPr>
        <w:t xml:space="preserve"> </w:t>
      </w:r>
      <w:r w:rsidR="00C15B1A" w:rsidRPr="000608A4">
        <w:rPr>
          <w:rFonts w:ascii="Garamond" w:hAnsi="Garamond"/>
          <w:lang w:val="en-US"/>
        </w:rPr>
        <w:t>c</w:t>
      </w:r>
      <w:r w:rsidR="00877D9B" w:rsidRPr="000608A4">
        <w:rPr>
          <w:rFonts w:ascii="Garamond" w:hAnsi="Garamond"/>
          <w:lang w:val="en-US"/>
        </w:rPr>
        <w:t>omplex</w:t>
      </w:r>
      <w:r w:rsidR="00C15B1A" w:rsidRPr="000608A4">
        <w:rPr>
          <w:rFonts w:ascii="Garamond" w:hAnsi="Garamond"/>
          <w:lang w:val="en-US"/>
        </w:rPr>
        <w:t xml:space="preserve"> and controversial issues or a project</w:t>
      </w:r>
      <w:r w:rsidR="00877D9B" w:rsidRPr="000608A4">
        <w:rPr>
          <w:rFonts w:ascii="Garamond" w:hAnsi="Garamond"/>
          <w:lang w:val="en-US"/>
        </w:rPr>
        <w:t xml:space="preserve"> </w:t>
      </w:r>
      <w:r w:rsidR="00C15B1A" w:rsidRPr="000608A4">
        <w:rPr>
          <w:rFonts w:ascii="Garamond" w:hAnsi="Garamond"/>
          <w:lang w:val="en-US"/>
        </w:rPr>
        <w:t>intending to increase knowledge</w:t>
      </w:r>
      <w:r w:rsidR="00877D9B" w:rsidRPr="000608A4">
        <w:rPr>
          <w:rFonts w:ascii="Garamond" w:hAnsi="Garamond"/>
          <w:lang w:val="en-US"/>
        </w:rPr>
        <w:t xml:space="preserve"> </w:t>
      </w:r>
      <w:r w:rsidR="00C15B1A" w:rsidRPr="000608A4">
        <w:rPr>
          <w:rFonts w:ascii="Garamond" w:hAnsi="Garamond"/>
          <w:lang w:val="en-US"/>
        </w:rPr>
        <w:t>on</w:t>
      </w:r>
      <w:r w:rsidR="00877D9B" w:rsidRPr="000608A4">
        <w:rPr>
          <w:rFonts w:ascii="Garamond" w:hAnsi="Garamond"/>
          <w:lang w:val="en-US"/>
        </w:rPr>
        <w:t xml:space="preserve"> social </w:t>
      </w:r>
      <w:r w:rsidR="00C15B1A" w:rsidRPr="000608A4">
        <w:rPr>
          <w:rFonts w:ascii="Garamond" w:hAnsi="Garamond"/>
          <w:lang w:val="en-US"/>
        </w:rPr>
        <w:t xml:space="preserve">integration of young people in particular in less privileged </w:t>
      </w:r>
      <w:r w:rsidR="000608A4" w:rsidRPr="000608A4">
        <w:rPr>
          <w:rFonts w:ascii="Garamond" w:hAnsi="Garamond"/>
          <w:lang w:val="en-US"/>
        </w:rPr>
        <w:t>areas</w:t>
      </w:r>
      <w:r w:rsidR="00C15B1A" w:rsidRPr="000608A4">
        <w:rPr>
          <w:rFonts w:ascii="Garamond" w:hAnsi="Garamond"/>
          <w:lang w:val="en-US"/>
        </w:rPr>
        <w:t xml:space="preserve"> </w:t>
      </w:r>
      <w:r w:rsidR="00877D9B" w:rsidRPr="000608A4">
        <w:rPr>
          <w:rFonts w:ascii="Garamond" w:hAnsi="Garamond"/>
          <w:lang w:val="en-US"/>
        </w:rPr>
        <w:t>funded by the N</w:t>
      </w:r>
      <w:r w:rsidR="000608A4" w:rsidRPr="000608A4">
        <w:rPr>
          <w:rFonts w:ascii="Garamond" w:hAnsi="Garamond"/>
          <w:lang w:val="en-US"/>
        </w:rPr>
        <w:t>ordic Council of Ministers.</w:t>
      </w:r>
      <w:r w:rsidR="00175277" w:rsidRPr="000608A4">
        <w:rPr>
          <w:rFonts w:ascii="Garamond" w:hAnsi="Garamond"/>
          <w:lang w:val="en-US"/>
        </w:rPr>
        <w:t xml:space="preserve"> </w:t>
      </w:r>
      <w:r w:rsidR="000608A4" w:rsidRPr="000608A4">
        <w:rPr>
          <w:rFonts w:ascii="Garamond" w:hAnsi="Garamond"/>
          <w:lang w:val="en-US"/>
        </w:rPr>
        <w:t xml:space="preserve">Furthermore various initiatives to strengthen </w:t>
      </w:r>
      <w:r w:rsidR="00175277" w:rsidRPr="000608A4">
        <w:rPr>
          <w:rFonts w:ascii="Garamond" w:hAnsi="Garamond"/>
          <w:lang w:val="en-US"/>
        </w:rPr>
        <w:t xml:space="preserve">civil </w:t>
      </w:r>
      <w:r w:rsidR="000608A4" w:rsidRPr="000608A4">
        <w:rPr>
          <w:rFonts w:ascii="Garamond" w:hAnsi="Garamond"/>
          <w:lang w:val="en-US"/>
        </w:rPr>
        <w:t>society, for example by means of an enhanced dialog between civil society organizations and the government,</w:t>
      </w:r>
      <w:r w:rsidR="00175277" w:rsidRPr="000608A4">
        <w:rPr>
          <w:rFonts w:ascii="Garamond" w:hAnsi="Garamond"/>
          <w:lang w:val="en-US"/>
        </w:rPr>
        <w:t xml:space="preserve"> </w:t>
      </w:r>
      <w:r w:rsidR="000608A4" w:rsidRPr="000608A4">
        <w:rPr>
          <w:rFonts w:ascii="Garamond" w:hAnsi="Garamond"/>
          <w:lang w:val="en-US"/>
        </w:rPr>
        <w:t>as well as to enhance the trust in</w:t>
      </w:r>
      <w:r w:rsidR="00175277" w:rsidRPr="000608A4">
        <w:rPr>
          <w:rFonts w:ascii="Garamond" w:hAnsi="Garamond"/>
          <w:lang w:val="en-US"/>
        </w:rPr>
        <w:t xml:space="preserve"> </w:t>
      </w:r>
      <w:r w:rsidR="000608A4" w:rsidRPr="000608A4">
        <w:rPr>
          <w:rFonts w:ascii="Garamond" w:hAnsi="Garamond"/>
          <w:lang w:val="en-US"/>
        </w:rPr>
        <w:t>elected legislators and</w:t>
      </w:r>
      <w:r w:rsidR="00175277" w:rsidRPr="000608A4">
        <w:rPr>
          <w:rFonts w:ascii="Garamond" w:hAnsi="Garamond"/>
          <w:lang w:val="en-US"/>
        </w:rPr>
        <w:t xml:space="preserve"> </w:t>
      </w:r>
      <w:r w:rsidR="000608A4" w:rsidRPr="000608A4">
        <w:rPr>
          <w:rFonts w:ascii="Garamond" w:hAnsi="Garamond"/>
          <w:lang w:val="en-US"/>
        </w:rPr>
        <w:t xml:space="preserve">the authorities, for example increased </w:t>
      </w:r>
      <w:r w:rsidR="00A86FFC">
        <w:rPr>
          <w:rFonts w:ascii="Garamond" w:hAnsi="Garamond"/>
          <w:lang w:val="en-US"/>
        </w:rPr>
        <w:t xml:space="preserve">insights into and </w:t>
      </w:r>
      <w:r w:rsidR="000608A4" w:rsidRPr="000608A4">
        <w:rPr>
          <w:rFonts w:ascii="Garamond" w:hAnsi="Garamond"/>
          <w:lang w:val="en-US"/>
        </w:rPr>
        <w:t>transparency</w:t>
      </w:r>
      <w:r w:rsidR="00175277" w:rsidRPr="000608A4">
        <w:rPr>
          <w:rFonts w:ascii="Garamond" w:hAnsi="Garamond"/>
          <w:lang w:val="en-US"/>
        </w:rPr>
        <w:t xml:space="preserve"> </w:t>
      </w:r>
      <w:r w:rsidR="000608A4" w:rsidRPr="000608A4">
        <w:rPr>
          <w:rFonts w:ascii="Garamond" w:hAnsi="Garamond"/>
          <w:lang w:val="en-US"/>
        </w:rPr>
        <w:t>of funding of political parties</w:t>
      </w:r>
      <w:r w:rsidR="00175277" w:rsidRPr="000608A4">
        <w:rPr>
          <w:rFonts w:ascii="Garamond" w:hAnsi="Garamond"/>
          <w:lang w:val="en-US"/>
        </w:rPr>
        <w:t xml:space="preserve"> (new law since 1 April 2018)</w:t>
      </w:r>
      <w:r w:rsidR="000608A4" w:rsidRPr="000608A4">
        <w:rPr>
          <w:rFonts w:ascii="Garamond" w:hAnsi="Garamond"/>
          <w:lang w:val="en-US"/>
        </w:rPr>
        <w:t>.</w:t>
      </w:r>
    </w:p>
    <w:p w:rsidR="009F479B" w:rsidRPr="000608A4" w:rsidRDefault="009F479B" w:rsidP="008C48D5">
      <w:pPr>
        <w:jc w:val="both"/>
        <w:rPr>
          <w:rFonts w:ascii="Garamond" w:hAnsi="Garamond"/>
          <w:lang w:val="en-US"/>
        </w:rPr>
      </w:pPr>
    </w:p>
    <w:p w:rsidR="009F479B" w:rsidRPr="009F479B" w:rsidRDefault="00C206F3" w:rsidP="008C48D5">
      <w:pPr>
        <w:jc w:val="both"/>
        <w:rPr>
          <w:rFonts w:ascii="Garamond" w:hAnsi="Garamond"/>
          <w:lang w:val="en-GB"/>
        </w:rPr>
      </w:pPr>
      <w:r w:rsidRPr="009F479B">
        <w:rPr>
          <w:rFonts w:ascii="Garamond" w:hAnsi="Garamond"/>
          <w:lang w:val="en-GB"/>
        </w:rPr>
        <w:t>As to strengthening the involvement of youth in all areas of society (Paragraph 7), the Gov</w:t>
      </w:r>
      <w:r w:rsidR="000A5636">
        <w:rPr>
          <w:rFonts w:ascii="Garamond" w:hAnsi="Garamond"/>
          <w:lang w:val="en-GB"/>
        </w:rPr>
        <w:t>e</w:t>
      </w:r>
      <w:r w:rsidRPr="009F479B">
        <w:rPr>
          <w:rFonts w:ascii="Garamond" w:hAnsi="Garamond"/>
          <w:lang w:val="en-GB"/>
        </w:rPr>
        <w:t xml:space="preserve">rnment of </w:t>
      </w:r>
      <w:proofErr w:type="spellStart"/>
      <w:r w:rsidRPr="009F479B">
        <w:rPr>
          <w:rFonts w:ascii="Garamond" w:hAnsi="Garamond"/>
          <w:lang w:val="en-GB"/>
        </w:rPr>
        <w:t>Åland</w:t>
      </w:r>
      <w:proofErr w:type="spellEnd"/>
      <w:r w:rsidRPr="009F479B">
        <w:rPr>
          <w:rFonts w:ascii="Garamond" w:hAnsi="Garamond"/>
          <w:lang w:val="en-GB"/>
        </w:rPr>
        <w:t xml:space="preserve"> reports that it has</w:t>
      </w:r>
      <w:r w:rsidR="007C5D0E" w:rsidRPr="009F479B">
        <w:rPr>
          <w:rFonts w:ascii="Garamond" w:hAnsi="Garamond"/>
          <w:lang w:val="en-GB"/>
        </w:rPr>
        <w:t xml:space="preserve"> prepared a legislative proposal on lowering the age limit for voting in municipal elections from 18 to 16 in order to motivate young people to get involved in political decision-making, to give them accountability and stimulate their participation and integration in society. The Parliament approved the proposal in spring 2017</w:t>
      </w:r>
      <w:r w:rsidR="0061332D">
        <w:rPr>
          <w:rFonts w:ascii="Garamond" w:hAnsi="Garamond"/>
          <w:lang w:val="en-GB"/>
        </w:rPr>
        <w:t>. However, it</w:t>
      </w:r>
      <w:r w:rsidR="007C5D0E" w:rsidRPr="009F479B">
        <w:rPr>
          <w:rFonts w:ascii="Garamond" w:hAnsi="Garamond"/>
          <w:lang w:val="en-GB"/>
        </w:rPr>
        <w:t xml:space="preserve"> </w:t>
      </w:r>
      <w:r w:rsidR="0061332D">
        <w:rPr>
          <w:rFonts w:ascii="Garamond" w:hAnsi="Garamond"/>
          <w:lang w:val="en-GB"/>
        </w:rPr>
        <w:t>h</w:t>
      </w:r>
      <w:r w:rsidR="007C5D0E" w:rsidRPr="009F479B">
        <w:rPr>
          <w:rFonts w:ascii="Garamond" w:hAnsi="Garamond"/>
          <w:lang w:val="en-GB"/>
        </w:rPr>
        <w:t>as not</w:t>
      </w:r>
      <w:r w:rsidR="0061332D">
        <w:rPr>
          <w:rFonts w:ascii="Garamond" w:hAnsi="Garamond"/>
          <w:lang w:val="en-GB"/>
        </w:rPr>
        <w:t xml:space="preserve"> been</w:t>
      </w:r>
      <w:r w:rsidR="007C5D0E" w:rsidRPr="009F479B">
        <w:rPr>
          <w:rFonts w:ascii="Garamond" w:hAnsi="Garamond"/>
          <w:lang w:val="en-GB"/>
        </w:rPr>
        <w:t xml:space="preserve"> approved by the President of Finland in the legislative control</w:t>
      </w:r>
      <w:r w:rsidR="0061332D">
        <w:rPr>
          <w:rFonts w:ascii="Garamond" w:hAnsi="Garamond"/>
          <w:lang w:val="en-GB"/>
        </w:rPr>
        <w:t xml:space="preserve"> procedure</w:t>
      </w:r>
      <w:r w:rsidR="007C5D0E" w:rsidRPr="009F479B">
        <w:rPr>
          <w:rFonts w:ascii="Garamond" w:hAnsi="Garamond"/>
          <w:lang w:val="en-GB"/>
        </w:rPr>
        <w:t xml:space="preserve">. </w:t>
      </w:r>
      <w:r w:rsidR="002F6C65" w:rsidRPr="009F479B">
        <w:rPr>
          <w:rFonts w:ascii="Garamond" w:hAnsi="Garamond"/>
          <w:lang w:val="en-GB"/>
        </w:rPr>
        <w:t>The Senate of the Free and Hanseatic City of Hamburg implemented a law that provides minors with the right to participate in a reasonable manner in planning procedures and projects touching their interest.</w:t>
      </w:r>
      <w:r w:rsidR="009F479B" w:rsidRPr="009F479B">
        <w:rPr>
          <w:rFonts w:ascii="Garamond" w:hAnsi="Garamond"/>
          <w:lang w:val="en-GB"/>
        </w:rPr>
        <w:t xml:space="preserve"> </w:t>
      </w:r>
      <w:r w:rsidR="009F479B">
        <w:rPr>
          <w:rFonts w:ascii="Garamond" w:hAnsi="Garamond"/>
          <w:lang w:val="en-GB"/>
        </w:rPr>
        <w:t>Mecklenburg-Vorpommern lists in this context t</w:t>
      </w:r>
      <w:r w:rsidR="009F479B" w:rsidRPr="009F479B">
        <w:rPr>
          <w:rFonts w:ascii="Garamond" w:hAnsi="Garamond"/>
          <w:lang w:val="en-GB"/>
        </w:rPr>
        <w:t>he “</w:t>
      </w:r>
      <w:proofErr w:type="spellStart"/>
      <w:r w:rsidR="009F479B" w:rsidRPr="009F479B">
        <w:rPr>
          <w:rFonts w:ascii="Garamond" w:hAnsi="Garamond"/>
          <w:lang w:val="en-GB"/>
        </w:rPr>
        <w:t>Beteiligungswerkstatt</w:t>
      </w:r>
      <w:proofErr w:type="spellEnd"/>
      <w:r w:rsidR="009F479B" w:rsidRPr="009F479B">
        <w:rPr>
          <w:rFonts w:ascii="Garamond" w:hAnsi="Garamond"/>
          <w:lang w:val="en-GB"/>
        </w:rPr>
        <w:t xml:space="preserve">” (participation workshop), funded by the state government, </w:t>
      </w:r>
      <w:r w:rsidR="009F479B">
        <w:rPr>
          <w:rFonts w:ascii="Garamond" w:hAnsi="Garamond"/>
          <w:lang w:val="en-GB"/>
        </w:rPr>
        <w:t xml:space="preserve">that </w:t>
      </w:r>
      <w:r w:rsidR="009F479B" w:rsidRPr="009F479B">
        <w:rPr>
          <w:rFonts w:ascii="Garamond" w:hAnsi="Garamond"/>
          <w:lang w:val="en-GB"/>
        </w:rPr>
        <w:t xml:space="preserve">supports the participation of children and adolescents in Mecklenburg-Vorpommern </w:t>
      </w:r>
      <w:r w:rsidR="009F479B">
        <w:rPr>
          <w:rFonts w:ascii="Garamond" w:hAnsi="Garamond"/>
          <w:lang w:val="en-GB"/>
        </w:rPr>
        <w:t xml:space="preserve">since as early as </w:t>
      </w:r>
      <w:r w:rsidR="009F479B" w:rsidRPr="009F479B">
        <w:rPr>
          <w:rFonts w:ascii="Garamond" w:hAnsi="Garamond"/>
          <w:lang w:val="en-GB"/>
        </w:rPr>
        <w:t>2001</w:t>
      </w:r>
      <w:r w:rsidR="009F479B">
        <w:rPr>
          <w:rFonts w:ascii="Garamond" w:hAnsi="Garamond"/>
          <w:lang w:val="en-GB"/>
        </w:rPr>
        <w:t>.</w:t>
      </w:r>
    </w:p>
    <w:p w:rsidR="009F479B" w:rsidRDefault="009F479B" w:rsidP="008C48D5">
      <w:pPr>
        <w:jc w:val="both"/>
        <w:rPr>
          <w:rFonts w:ascii="Garamond" w:hAnsi="Garamond"/>
          <w:lang w:val="en-GB"/>
        </w:rPr>
      </w:pPr>
    </w:p>
    <w:p w:rsidR="005B6E7B" w:rsidRPr="00F02039" w:rsidRDefault="005B6E7B" w:rsidP="00A1570F">
      <w:pPr>
        <w:jc w:val="both"/>
        <w:rPr>
          <w:rFonts w:ascii="Garamond" w:hAnsi="Garamond"/>
          <w:lang w:val="en-GB"/>
        </w:rPr>
      </w:pPr>
      <w:r w:rsidRPr="005B6E7B">
        <w:rPr>
          <w:rFonts w:ascii="Garamond" w:hAnsi="Garamond"/>
          <w:lang w:val="en-GB"/>
        </w:rPr>
        <w:lastRenderedPageBreak/>
        <w:t>The various Paragraphs on digit</w:t>
      </w:r>
      <w:r>
        <w:rPr>
          <w:rFonts w:ascii="Garamond" w:hAnsi="Garamond"/>
          <w:lang w:val="en-GB"/>
        </w:rPr>
        <w:t>a</w:t>
      </w:r>
      <w:r w:rsidRPr="005B6E7B">
        <w:rPr>
          <w:rFonts w:ascii="Garamond" w:hAnsi="Garamond"/>
          <w:lang w:val="en-GB"/>
        </w:rPr>
        <w:t xml:space="preserve">lisation (8-14) are addressed in different ways and intensity, by some </w:t>
      </w:r>
      <w:r w:rsidR="003F05E6">
        <w:rPr>
          <w:rFonts w:ascii="Garamond" w:hAnsi="Garamond"/>
          <w:lang w:val="en-GB"/>
        </w:rPr>
        <w:t xml:space="preserve">governments </w:t>
      </w:r>
      <w:r w:rsidRPr="005B6E7B">
        <w:rPr>
          <w:rFonts w:ascii="Garamond" w:hAnsi="Garamond"/>
          <w:lang w:val="en-GB"/>
        </w:rPr>
        <w:t>very specific</w:t>
      </w:r>
      <w:r w:rsidR="00A91D78">
        <w:rPr>
          <w:rFonts w:ascii="Garamond" w:hAnsi="Garamond"/>
          <w:lang w:val="en-GB"/>
        </w:rPr>
        <w:t>al</w:t>
      </w:r>
      <w:r w:rsidR="003F05E6">
        <w:rPr>
          <w:rFonts w:ascii="Garamond" w:hAnsi="Garamond"/>
          <w:lang w:val="en-GB"/>
        </w:rPr>
        <w:t>ly</w:t>
      </w:r>
      <w:r w:rsidRPr="005B6E7B">
        <w:rPr>
          <w:rFonts w:ascii="Garamond" w:hAnsi="Garamond"/>
          <w:lang w:val="en-GB"/>
        </w:rPr>
        <w:t>, by others</w:t>
      </w:r>
      <w:r w:rsidR="0061332D">
        <w:rPr>
          <w:rFonts w:ascii="Garamond" w:hAnsi="Garamond"/>
          <w:lang w:val="en-GB"/>
        </w:rPr>
        <w:t xml:space="preserve"> in</w:t>
      </w:r>
      <w:r w:rsidRPr="005B6E7B">
        <w:rPr>
          <w:rFonts w:ascii="Garamond" w:hAnsi="Garamond"/>
          <w:lang w:val="en-GB"/>
        </w:rPr>
        <w:t xml:space="preserve"> more general</w:t>
      </w:r>
      <w:r w:rsidR="0061332D">
        <w:rPr>
          <w:rFonts w:ascii="Garamond" w:hAnsi="Garamond"/>
          <w:lang w:val="en-GB"/>
        </w:rPr>
        <w:t xml:space="preserve"> terms</w:t>
      </w:r>
      <w:r w:rsidRPr="005B6E7B">
        <w:rPr>
          <w:rFonts w:ascii="Garamond" w:hAnsi="Garamond"/>
          <w:lang w:val="en-GB"/>
        </w:rPr>
        <w:t>. The Danish Government, believing that there is a need to maximize the benefits while also minimizing the accompanying risks, outlines that it made digitali</w:t>
      </w:r>
      <w:r w:rsidR="0061332D">
        <w:rPr>
          <w:rFonts w:ascii="Garamond" w:hAnsi="Garamond"/>
          <w:lang w:val="en-GB"/>
        </w:rPr>
        <w:t>s</w:t>
      </w:r>
      <w:r w:rsidRPr="005B6E7B">
        <w:rPr>
          <w:rFonts w:ascii="Garamond" w:hAnsi="Garamond"/>
          <w:lang w:val="en-GB"/>
        </w:rPr>
        <w:t xml:space="preserve">ation and technological development a strategic priority </w:t>
      </w:r>
      <w:r w:rsidR="0061332D">
        <w:rPr>
          <w:rFonts w:ascii="Garamond" w:hAnsi="Garamond"/>
          <w:lang w:val="en-GB"/>
        </w:rPr>
        <w:t>of</w:t>
      </w:r>
      <w:r w:rsidRPr="005B6E7B">
        <w:rPr>
          <w:rFonts w:ascii="Garamond" w:hAnsi="Garamond"/>
          <w:lang w:val="en-GB"/>
        </w:rPr>
        <w:t xml:space="preserve"> Danish Foreign Policy. To this purpose it has appointed the worldwide first </w:t>
      </w:r>
      <w:r w:rsidRPr="005B6E7B">
        <w:rPr>
          <w:rFonts w:ascii="Garamond" w:hAnsi="Garamond"/>
          <w:i/>
          <w:lang w:val="en-GB"/>
        </w:rPr>
        <w:t>Tech Ambassador</w:t>
      </w:r>
      <w:r w:rsidRPr="005B6E7B">
        <w:rPr>
          <w:rFonts w:ascii="Garamond" w:hAnsi="Garamond"/>
          <w:lang w:val="en-GB"/>
        </w:rPr>
        <w:t xml:space="preserve"> with a broad mandate. The government is also currently preparing a new 2018-21 national strategy for cyber and information security. </w:t>
      </w:r>
      <w:r w:rsidR="003F05E6">
        <w:rPr>
          <w:rFonts w:ascii="Garamond" w:hAnsi="Garamond"/>
          <w:lang w:val="en-GB"/>
        </w:rPr>
        <w:t>The Lithuanian Government announced that a</w:t>
      </w:r>
      <w:r w:rsidRPr="005B6E7B">
        <w:rPr>
          <w:rFonts w:ascii="Garamond" w:hAnsi="Garamond"/>
          <w:lang w:val="en-GB"/>
        </w:rPr>
        <w:t xml:space="preserve"> “Digital Agenda for the Republic of Lithuania</w:t>
      </w:r>
      <w:r w:rsidR="003F05E6">
        <w:rPr>
          <w:rFonts w:ascii="Garamond" w:hAnsi="Garamond"/>
          <w:lang w:val="en-GB"/>
        </w:rPr>
        <w:t>”</w:t>
      </w:r>
      <w:r w:rsidRPr="005B6E7B">
        <w:rPr>
          <w:rFonts w:ascii="Garamond" w:hAnsi="Garamond"/>
          <w:lang w:val="en-GB"/>
        </w:rPr>
        <w:t xml:space="preserve"> was adopted in December 2017</w:t>
      </w:r>
      <w:r w:rsidR="003F05E6">
        <w:rPr>
          <w:rFonts w:ascii="Garamond" w:hAnsi="Garamond"/>
          <w:lang w:val="en-GB"/>
        </w:rPr>
        <w:t xml:space="preserve">. Its main aim is that </w:t>
      </w:r>
      <w:r w:rsidRPr="005B6E7B">
        <w:rPr>
          <w:rFonts w:ascii="Garamond" w:hAnsi="Garamond"/>
          <w:lang w:val="en-GB"/>
        </w:rPr>
        <w:t>at least 85% of the Lithuanian population would use the Internet</w:t>
      </w:r>
      <w:r w:rsidR="0061332D">
        <w:rPr>
          <w:rFonts w:ascii="Garamond" w:hAnsi="Garamond"/>
          <w:lang w:val="en-GB"/>
        </w:rPr>
        <w:t xml:space="preserve"> b</w:t>
      </w:r>
      <w:r w:rsidR="0061332D" w:rsidRPr="00A86FFC">
        <w:rPr>
          <w:rFonts w:ascii="Garamond" w:hAnsi="Garamond"/>
          <w:lang w:val="en-GB"/>
        </w:rPr>
        <w:t>y 2020</w:t>
      </w:r>
      <w:r w:rsidRPr="00A86FFC">
        <w:rPr>
          <w:rFonts w:ascii="Garamond" w:hAnsi="Garamond"/>
          <w:lang w:val="en-GB"/>
        </w:rPr>
        <w:t xml:space="preserve">, and 95% of the companies would use high-speed Internet. </w:t>
      </w:r>
      <w:r w:rsidR="00A86FFC" w:rsidRPr="00A86FFC">
        <w:rPr>
          <w:rFonts w:ascii="Garamond" w:hAnsi="Garamond"/>
          <w:lang w:val="en-GB"/>
        </w:rPr>
        <w:t>Sweden also reports on its new long-term strategy on sustainable digitalisation that outlines how digitalisation could contribute to an economic, social and environmental sustainable development.</w:t>
      </w:r>
      <w:r w:rsidR="00A86FFC">
        <w:rPr>
          <w:rFonts w:ascii="Garamond" w:hAnsi="Garamond"/>
          <w:lang w:val="en-GB"/>
        </w:rPr>
        <w:t xml:space="preserve"> </w:t>
      </w:r>
      <w:r w:rsidR="00DE1C80" w:rsidRPr="00F02039">
        <w:rPr>
          <w:rFonts w:ascii="Garamond" w:hAnsi="Garamond"/>
          <w:lang w:val="en-GB"/>
        </w:rPr>
        <w:t xml:space="preserve">Norway </w:t>
      </w:r>
      <w:r>
        <w:rPr>
          <w:rFonts w:ascii="Garamond" w:hAnsi="Garamond"/>
          <w:lang w:val="en-GB"/>
        </w:rPr>
        <w:t xml:space="preserve">states that </w:t>
      </w:r>
      <w:r w:rsidR="00DE1C80" w:rsidRPr="00F02039">
        <w:rPr>
          <w:rFonts w:ascii="Garamond" w:hAnsi="Garamond"/>
          <w:lang w:val="en-GB"/>
        </w:rPr>
        <w:t>“</w:t>
      </w:r>
      <w:r>
        <w:rPr>
          <w:rFonts w:ascii="Garamond" w:hAnsi="Garamond"/>
          <w:lang w:val="en-GB"/>
        </w:rPr>
        <w:t>i</w:t>
      </w:r>
      <w:r w:rsidR="00DE1C80" w:rsidRPr="00F02039">
        <w:rPr>
          <w:rFonts w:ascii="Garamond" w:hAnsi="Garamond"/>
          <w:lang w:val="en-GB"/>
        </w:rPr>
        <w:t>t is our hope that the digital forums will be used in a way that contributes to the expansion of democracy”</w:t>
      </w:r>
      <w:r>
        <w:rPr>
          <w:rFonts w:ascii="Garamond" w:hAnsi="Garamond"/>
          <w:lang w:val="en-GB"/>
        </w:rPr>
        <w:t xml:space="preserve"> but the government does not further expand how exactly.</w:t>
      </w:r>
      <w:r w:rsidR="003F05E6">
        <w:rPr>
          <w:rFonts w:ascii="Garamond" w:hAnsi="Garamond"/>
          <w:lang w:val="en-GB"/>
        </w:rPr>
        <w:t xml:space="preserve"> No government addresses the important issue of c</w:t>
      </w:r>
      <w:r w:rsidRPr="00F02039">
        <w:rPr>
          <w:rFonts w:ascii="Garamond" w:hAnsi="Garamond"/>
          <w:lang w:val="en-GB"/>
        </w:rPr>
        <w:t>hanges of digi</w:t>
      </w:r>
      <w:r>
        <w:rPr>
          <w:rFonts w:ascii="Garamond" w:hAnsi="Garamond"/>
          <w:lang w:val="en-GB"/>
        </w:rPr>
        <w:t>ta</w:t>
      </w:r>
      <w:r w:rsidRPr="00F02039">
        <w:rPr>
          <w:rFonts w:ascii="Garamond" w:hAnsi="Garamond"/>
          <w:lang w:val="en-GB"/>
        </w:rPr>
        <w:t xml:space="preserve">lisation for decent working and living conditions </w:t>
      </w:r>
      <w:r w:rsidR="003F05E6">
        <w:rPr>
          <w:rFonts w:ascii="Garamond" w:hAnsi="Garamond"/>
          <w:lang w:val="en-GB"/>
        </w:rPr>
        <w:t>(Paragraph 13) and only two refer to the likewise important point concerning g</w:t>
      </w:r>
      <w:r w:rsidRPr="00F02039">
        <w:rPr>
          <w:rFonts w:ascii="Garamond" w:hAnsi="Garamond"/>
          <w:lang w:val="en-GB"/>
        </w:rPr>
        <w:t>ender and generation aspects of digital innovation (Paragraph 14)</w:t>
      </w:r>
      <w:r w:rsidR="003F05E6">
        <w:rPr>
          <w:rFonts w:ascii="Garamond" w:hAnsi="Garamond"/>
          <w:lang w:val="en-GB"/>
        </w:rPr>
        <w:t xml:space="preserve">. Denmark here states that the Minister for Equal Opportunities will focus on </w:t>
      </w:r>
      <w:r w:rsidR="000B749C">
        <w:rPr>
          <w:rFonts w:ascii="Garamond" w:hAnsi="Garamond"/>
          <w:lang w:val="en-GB"/>
        </w:rPr>
        <w:t>“</w:t>
      </w:r>
      <w:r w:rsidR="003F05E6">
        <w:rPr>
          <w:rFonts w:ascii="Garamond" w:hAnsi="Garamond"/>
          <w:lang w:val="en-GB"/>
        </w:rPr>
        <w:t>how parents</w:t>
      </w:r>
      <w:r w:rsidR="000B749C">
        <w:rPr>
          <w:rFonts w:ascii="Garamond" w:hAnsi="Garamond"/>
          <w:lang w:val="en-GB"/>
        </w:rPr>
        <w:t>, educational institutions and young people can themselves help create a change in culture towards less gender-segregated education choices so that young women consider science and IT as an attractive choice of education and work areas”.</w:t>
      </w:r>
      <w:r w:rsidR="006743DC">
        <w:rPr>
          <w:rFonts w:ascii="Garamond" w:hAnsi="Garamond"/>
          <w:lang w:val="en-GB"/>
        </w:rPr>
        <w:t xml:space="preserve"> The Ministry of Education </w:t>
      </w:r>
      <w:r w:rsidR="00CF2A1B">
        <w:rPr>
          <w:rFonts w:ascii="Garamond" w:hAnsi="Garamond"/>
          <w:lang w:val="en-GB"/>
        </w:rPr>
        <w:t>i</w:t>
      </w:r>
      <w:r w:rsidR="006743DC">
        <w:rPr>
          <w:rFonts w:ascii="Garamond" w:hAnsi="Garamond"/>
          <w:lang w:val="en-GB"/>
        </w:rPr>
        <w:t>s</w:t>
      </w:r>
      <w:r w:rsidR="00CF2A1B">
        <w:rPr>
          <w:rFonts w:ascii="Garamond" w:hAnsi="Garamond"/>
          <w:lang w:val="en-GB"/>
        </w:rPr>
        <w:t xml:space="preserve"> planning</w:t>
      </w:r>
      <w:r w:rsidR="006743DC">
        <w:rPr>
          <w:rFonts w:ascii="Garamond" w:hAnsi="Garamond"/>
          <w:lang w:val="en-GB"/>
        </w:rPr>
        <w:t xml:space="preserve"> a conference to provide inspiration and to promote girls</w:t>
      </w:r>
      <w:r w:rsidR="0061332D">
        <w:rPr>
          <w:rFonts w:ascii="Garamond" w:hAnsi="Garamond"/>
          <w:lang w:val="en-GB"/>
        </w:rPr>
        <w:t>’</w:t>
      </w:r>
      <w:r w:rsidR="006743DC">
        <w:rPr>
          <w:rFonts w:ascii="Garamond" w:hAnsi="Garamond"/>
          <w:lang w:val="en-GB"/>
        </w:rPr>
        <w:t xml:space="preserve"> interest in technology. </w:t>
      </w:r>
    </w:p>
    <w:p w:rsidR="005B6E7B" w:rsidRDefault="005B6E7B" w:rsidP="00A1570F">
      <w:pPr>
        <w:jc w:val="both"/>
        <w:rPr>
          <w:rFonts w:ascii="Garamond" w:hAnsi="Garamond"/>
          <w:lang w:val="en-GB"/>
        </w:rPr>
      </w:pPr>
    </w:p>
    <w:p w:rsidR="00441695" w:rsidRPr="00A1570F" w:rsidRDefault="00FD1E9F" w:rsidP="00A1570F">
      <w:pPr>
        <w:jc w:val="both"/>
        <w:rPr>
          <w:rFonts w:ascii="Garamond" w:hAnsi="Garamond"/>
          <w:lang w:val="en-GB"/>
        </w:rPr>
      </w:pPr>
      <w:r>
        <w:rPr>
          <w:rFonts w:ascii="Garamond" w:hAnsi="Garamond"/>
          <w:lang w:val="en-GB"/>
        </w:rPr>
        <w:t>The German Federal Government focuses</w:t>
      </w:r>
      <w:r w:rsidR="007C5D0E">
        <w:rPr>
          <w:rFonts w:ascii="Garamond" w:hAnsi="Garamond"/>
          <w:lang w:val="en-GB"/>
        </w:rPr>
        <w:t xml:space="preserve"> </w:t>
      </w:r>
      <w:r w:rsidR="000F457E">
        <w:rPr>
          <w:rFonts w:ascii="Garamond" w:hAnsi="Garamond"/>
          <w:lang w:val="en-GB"/>
        </w:rPr>
        <w:t xml:space="preserve">in </w:t>
      </w:r>
      <w:r w:rsidR="007C5D0E">
        <w:rPr>
          <w:rFonts w:ascii="Garamond" w:hAnsi="Garamond"/>
          <w:lang w:val="en-GB"/>
        </w:rPr>
        <w:t>its statement</w:t>
      </w:r>
      <w:r>
        <w:rPr>
          <w:rFonts w:ascii="Garamond" w:hAnsi="Garamond"/>
          <w:lang w:val="en-GB"/>
        </w:rPr>
        <w:t xml:space="preserve"> on the legal possibilities to react against “Hate Sp</w:t>
      </w:r>
      <w:r w:rsidR="002F6C65">
        <w:rPr>
          <w:rFonts w:ascii="Garamond" w:hAnsi="Garamond"/>
          <w:lang w:val="en-GB"/>
        </w:rPr>
        <w:t>e</w:t>
      </w:r>
      <w:r>
        <w:rPr>
          <w:rFonts w:ascii="Garamond" w:hAnsi="Garamond"/>
          <w:lang w:val="en-GB"/>
        </w:rPr>
        <w:t xml:space="preserve">ech” and fake News” (Paragraph 15), explaining in detail its new law for the improvement of </w:t>
      </w:r>
      <w:r w:rsidR="002F6C65">
        <w:rPr>
          <w:rFonts w:ascii="Garamond" w:hAnsi="Garamond"/>
          <w:lang w:val="en-GB"/>
        </w:rPr>
        <w:t xml:space="preserve">asserting legal rights </w:t>
      </w:r>
      <w:r>
        <w:rPr>
          <w:rFonts w:ascii="Garamond" w:hAnsi="Garamond"/>
          <w:lang w:val="en-GB"/>
        </w:rPr>
        <w:t>in social media adopted in 2017. It aims at fighting aforementioned phenomena more effectively on the national level.</w:t>
      </w:r>
      <w:r w:rsidR="000A5C22">
        <w:rPr>
          <w:rFonts w:ascii="Garamond" w:hAnsi="Garamond"/>
          <w:lang w:val="en-GB"/>
        </w:rPr>
        <w:t xml:space="preserve"> The Danish Government states that it has set up a commission on free speech. The commission has the mandate to examine the conditions for free speech and the impact of “fake news” on the democratic discourse.</w:t>
      </w:r>
      <w:r w:rsidR="00B56EFC">
        <w:rPr>
          <w:rFonts w:ascii="Garamond" w:hAnsi="Garamond"/>
          <w:lang w:val="en-GB"/>
        </w:rPr>
        <w:t xml:space="preserve"> Tackling the challenge, Latvia is undertaking a review of the National Electronic </w:t>
      </w:r>
      <w:r w:rsidR="0061332D">
        <w:rPr>
          <w:rFonts w:ascii="Garamond" w:hAnsi="Garamond"/>
          <w:lang w:val="en-GB"/>
        </w:rPr>
        <w:t>M</w:t>
      </w:r>
      <w:r w:rsidR="00B56EFC">
        <w:rPr>
          <w:rFonts w:ascii="Garamond" w:hAnsi="Garamond"/>
          <w:lang w:val="en-GB"/>
        </w:rPr>
        <w:t xml:space="preserve">edia Law and supports </w:t>
      </w:r>
      <w:r w:rsidR="0061332D">
        <w:rPr>
          <w:rFonts w:ascii="Garamond" w:hAnsi="Garamond"/>
          <w:lang w:val="en-GB"/>
        </w:rPr>
        <w:t xml:space="preserve">a </w:t>
      </w:r>
      <w:r w:rsidR="00B56EFC">
        <w:rPr>
          <w:rFonts w:ascii="Garamond" w:hAnsi="Garamond"/>
          <w:lang w:val="en-GB"/>
        </w:rPr>
        <w:t xml:space="preserve">practical NGO-driven project aimed at upgrading journalists’ professional skills and safeguarding the independence of the media. </w:t>
      </w:r>
      <w:r w:rsidR="00A86FFC">
        <w:rPr>
          <w:rFonts w:ascii="Garamond" w:hAnsi="Garamond"/>
          <w:lang w:val="en-GB"/>
        </w:rPr>
        <w:t xml:space="preserve">The Swedish Government lists an </w:t>
      </w:r>
      <w:r w:rsidR="00A86FFC" w:rsidRPr="00A1570F">
        <w:rPr>
          <w:rFonts w:ascii="Garamond" w:hAnsi="Garamond"/>
          <w:lang w:val="en-GB"/>
        </w:rPr>
        <w:t>impres</w:t>
      </w:r>
      <w:r w:rsidR="00441695" w:rsidRPr="00A1570F">
        <w:rPr>
          <w:rFonts w:ascii="Garamond" w:hAnsi="Garamond"/>
          <w:lang w:val="en-GB"/>
        </w:rPr>
        <w:t>s</w:t>
      </w:r>
      <w:r w:rsidR="00A86FFC" w:rsidRPr="00A1570F">
        <w:rPr>
          <w:rFonts w:ascii="Garamond" w:hAnsi="Garamond"/>
          <w:lang w:val="en-GB"/>
        </w:rPr>
        <w:t>i</w:t>
      </w:r>
      <w:r w:rsidR="00441695" w:rsidRPr="00A1570F">
        <w:rPr>
          <w:rFonts w:ascii="Garamond" w:hAnsi="Garamond"/>
          <w:lang w:val="en-GB"/>
        </w:rPr>
        <w:t>ve</w:t>
      </w:r>
      <w:r w:rsidR="00A86FFC" w:rsidRPr="00A1570F">
        <w:rPr>
          <w:rFonts w:ascii="Garamond" w:hAnsi="Garamond"/>
          <w:lang w:val="en-GB"/>
        </w:rPr>
        <w:t xml:space="preserve"> number of national measures </w:t>
      </w:r>
      <w:r w:rsidR="00A1570F" w:rsidRPr="00A1570F">
        <w:rPr>
          <w:rFonts w:ascii="Garamond" w:hAnsi="Garamond"/>
          <w:lang w:val="en-GB"/>
        </w:rPr>
        <w:t xml:space="preserve">in order </w:t>
      </w:r>
      <w:r w:rsidR="00441695" w:rsidRPr="00A1570F">
        <w:rPr>
          <w:rFonts w:ascii="Garamond" w:hAnsi="Garamond"/>
          <w:lang w:val="en-US"/>
        </w:rPr>
        <w:t>to enhance</w:t>
      </w:r>
      <w:r w:rsidR="00A86FFC" w:rsidRPr="00A1570F">
        <w:rPr>
          <w:rFonts w:ascii="Garamond" w:hAnsi="Garamond"/>
          <w:lang w:val="en-US"/>
        </w:rPr>
        <w:t xml:space="preserve"> </w:t>
      </w:r>
      <w:r w:rsidR="00441695" w:rsidRPr="00A1570F">
        <w:rPr>
          <w:rFonts w:ascii="Garamond" w:hAnsi="Garamond"/>
          <w:lang w:val="en-US"/>
        </w:rPr>
        <w:t>the public knowledge</w:t>
      </w:r>
      <w:r w:rsidR="00A86FFC" w:rsidRPr="00A1570F">
        <w:rPr>
          <w:rFonts w:ascii="Garamond" w:hAnsi="Garamond"/>
          <w:lang w:val="en-US"/>
        </w:rPr>
        <w:t xml:space="preserve"> </w:t>
      </w:r>
      <w:r w:rsidR="00441695" w:rsidRPr="00A1570F">
        <w:rPr>
          <w:rFonts w:ascii="Garamond" w:hAnsi="Garamond"/>
          <w:lang w:val="en-US"/>
        </w:rPr>
        <w:t xml:space="preserve">of the </w:t>
      </w:r>
      <w:r w:rsidR="00A86FFC" w:rsidRPr="00A1570F">
        <w:rPr>
          <w:rFonts w:ascii="Garamond" w:hAnsi="Garamond"/>
          <w:lang w:val="en-US"/>
        </w:rPr>
        <w:t>med</w:t>
      </w:r>
      <w:r w:rsidR="00441695" w:rsidRPr="00A1570F">
        <w:rPr>
          <w:rFonts w:ascii="Garamond" w:hAnsi="Garamond"/>
          <w:lang w:val="en-US"/>
        </w:rPr>
        <w:t>ia</w:t>
      </w:r>
      <w:r w:rsidR="00A86FFC" w:rsidRPr="00A1570F">
        <w:rPr>
          <w:rFonts w:ascii="Garamond" w:hAnsi="Garamond"/>
          <w:lang w:val="en-US"/>
        </w:rPr>
        <w:t xml:space="preserve">- </w:t>
      </w:r>
      <w:r w:rsidR="00441695" w:rsidRPr="00A1570F">
        <w:rPr>
          <w:rFonts w:ascii="Garamond" w:hAnsi="Garamond"/>
          <w:lang w:val="en-US"/>
        </w:rPr>
        <w:t>and</w:t>
      </w:r>
      <w:r w:rsidR="00A86FFC" w:rsidRPr="00A1570F">
        <w:rPr>
          <w:rFonts w:ascii="Garamond" w:hAnsi="Garamond"/>
          <w:lang w:val="en-US"/>
        </w:rPr>
        <w:t xml:space="preserve"> information</w:t>
      </w:r>
      <w:r w:rsidR="00441695" w:rsidRPr="00A1570F">
        <w:rPr>
          <w:rFonts w:ascii="Garamond" w:hAnsi="Garamond"/>
          <w:lang w:val="en-US"/>
        </w:rPr>
        <w:t xml:space="preserve"> landscape, </w:t>
      </w:r>
      <w:r w:rsidR="00441695" w:rsidRPr="00A1570F">
        <w:rPr>
          <w:rFonts w:ascii="Garamond" w:hAnsi="Garamond"/>
          <w:lang w:val="en-GB"/>
        </w:rPr>
        <w:t xml:space="preserve">to strengthen </w:t>
      </w:r>
      <w:r w:rsidR="00A1570F" w:rsidRPr="00A1570F">
        <w:rPr>
          <w:rFonts w:ascii="Garamond" w:hAnsi="Garamond"/>
          <w:lang w:val="en-GB"/>
        </w:rPr>
        <w:t xml:space="preserve">the </w:t>
      </w:r>
      <w:r w:rsidR="00441695" w:rsidRPr="00A1570F">
        <w:rPr>
          <w:rFonts w:ascii="Garamond" w:hAnsi="Garamond"/>
          <w:lang w:val="en-GB"/>
        </w:rPr>
        <w:t xml:space="preserve">citizens’ </w:t>
      </w:r>
      <w:r w:rsidR="00F76E04">
        <w:rPr>
          <w:rFonts w:ascii="Garamond" w:hAnsi="Garamond"/>
          <w:lang w:val="en-GB"/>
        </w:rPr>
        <w:t xml:space="preserve">capability of </w:t>
      </w:r>
      <w:r w:rsidR="00441695" w:rsidRPr="00A1570F">
        <w:rPr>
          <w:rFonts w:ascii="Garamond" w:hAnsi="Garamond"/>
          <w:lang w:val="en-GB"/>
        </w:rPr>
        <w:t>resi</w:t>
      </w:r>
      <w:r w:rsidR="00F76E04">
        <w:rPr>
          <w:rFonts w:ascii="Garamond" w:hAnsi="Garamond"/>
          <w:lang w:val="en-GB"/>
        </w:rPr>
        <w:t>sta</w:t>
      </w:r>
      <w:r w:rsidR="00441695" w:rsidRPr="00A1570F">
        <w:rPr>
          <w:rFonts w:ascii="Garamond" w:hAnsi="Garamond"/>
          <w:lang w:val="en-GB"/>
        </w:rPr>
        <w:t xml:space="preserve">nce </w:t>
      </w:r>
      <w:r w:rsidR="00F76E04">
        <w:rPr>
          <w:rFonts w:ascii="Garamond" w:hAnsi="Garamond"/>
          <w:lang w:val="en-GB"/>
        </w:rPr>
        <w:t>to</w:t>
      </w:r>
      <w:r w:rsidR="00441695" w:rsidRPr="00A1570F">
        <w:rPr>
          <w:rFonts w:ascii="Garamond" w:hAnsi="Garamond"/>
          <w:lang w:val="en-GB"/>
        </w:rPr>
        <w:t xml:space="preserve"> anti-democratic forces, to </w:t>
      </w:r>
      <w:r w:rsidR="00A1570F" w:rsidRPr="00A1570F">
        <w:rPr>
          <w:rFonts w:ascii="Garamond" w:hAnsi="Garamond"/>
          <w:lang w:val="en-GB"/>
        </w:rPr>
        <w:t>protect</w:t>
      </w:r>
      <w:r w:rsidR="00441695" w:rsidRPr="00A1570F">
        <w:rPr>
          <w:rFonts w:ascii="Garamond" w:hAnsi="Garamond"/>
          <w:lang w:val="en-GB"/>
        </w:rPr>
        <w:t xml:space="preserve"> </w:t>
      </w:r>
      <w:r w:rsidR="00A1570F" w:rsidRPr="00A1570F">
        <w:rPr>
          <w:rFonts w:ascii="Garamond" w:hAnsi="Garamond"/>
          <w:lang w:val="en-GB"/>
        </w:rPr>
        <w:t>the freedom of speech</w:t>
      </w:r>
      <w:r w:rsidR="00441695" w:rsidRPr="00A1570F">
        <w:rPr>
          <w:rFonts w:ascii="Garamond" w:hAnsi="Garamond"/>
          <w:lang w:val="en-GB"/>
        </w:rPr>
        <w:t xml:space="preserve"> </w:t>
      </w:r>
      <w:r w:rsidR="00A1570F" w:rsidRPr="00A1570F">
        <w:rPr>
          <w:rFonts w:ascii="Garamond" w:hAnsi="Garamond"/>
          <w:lang w:val="en-GB"/>
        </w:rPr>
        <w:t>against threads and hatred</w:t>
      </w:r>
      <w:r w:rsidR="00441695" w:rsidRPr="00A1570F">
        <w:rPr>
          <w:rFonts w:ascii="Garamond" w:hAnsi="Garamond"/>
          <w:lang w:val="en-GB"/>
        </w:rPr>
        <w:t xml:space="preserve"> </w:t>
      </w:r>
      <w:r w:rsidR="00A1570F" w:rsidRPr="00A1570F">
        <w:rPr>
          <w:rFonts w:ascii="Garamond" w:hAnsi="Garamond"/>
          <w:lang w:val="en-GB"/>
        </w:rPr>
        <w:t>as well as to</w:t>
      </w:r>
      <w:r w:rsidR="00441695" w:rsidRPr="00A1570F">
        <w:rPr>
          <w:rFonts w:ascii="Garamond" w:hAnsi="Garamond"/>
          <w:lang w:val="en-GB"/>
        </w:rPr>
        <w:t xml:space="preserve"> </w:t>
      </w:r>
      <w:r w:rsidR="00A1570F" w:rsidRPr="00A1570F">
        <w:rPr>
          <w:rFonts w:ascii="Garamond" w:hAnsi="Garamond"/>
          <w:lang w:val="en-GB"/>
        </w:rPr>
        <w:t>prevent</w:t>
      </w:r>
      <w:r w:rsidR="00441695" w:rsidRPr="00A1570F">
        <w:rPr>
          <w:rFonts w:ascii="Garamond" w:hAnsi="Garamond"/>
          <w:lang w:val="en-GB"/>
        </w:rPr>
        <w:t xml:space="preserve"> </w:t>
      </w:r>
      <w:r w:rsidR="00A1570F" w:rsidRPr="00A1570F">
        <w:rPr>
          <w:rFonts w:ascii="Garamond" w:hAnsi="Garamond"/>
          <w:lang w:val="en-GB"/>
        </w:rPr>
        <w:t>and</w:t>
      </w:r>
      <w:r w:rsidR="00441695" w:rsidRPr="00A1570F">
        <w:rPr>
          <w:rFonts w:ascii="Garamond" w:hAnsi="Garamond"/>
          <w:lang w:val="en-GB"/>
        </w:rPr>
        <w:t xml:space="preserve"> </w:t>
      </w:r>
      <w:r w:rsidR="00A1570F" w:rsidRPr="00A1570F">
        <w:rPr>
          <w:rFonts w:ascii="Garamond" w:hAnsi="Garamond"/>
          <w:lang w:val="en-GB"/>
        </w:rPr>
        <w:t>counteract</w:t>
      </w:r>
      <w:r w:rsidR="00441695" w:rsidRPr="00A1570F">
        <w:rPr>
          <w:rFonts w:ascii="Garamond" w:hAnsi="Garamond"/>
          <w:lang w:val="en-GB"/>
        </w:rPr>
        <w:t xml:space="preserve"> </w:t>
      </w:r>
      <w:r w:rsidR="00A1570F" w:rsidRPr="00A1570F">
        <w:rPr>
          <w:rFonts w:ascii="Garamond" w:hAnsi="Garamond"/>
          <w:lang w:val="en-GB"/>
        </w:rPr>
        <w:t>attacks on</w:t>
      </w:r>
      <w:r w:rsidR="00441695" w:rsidRPr="00A1570F">
        <w:rPr>
          <w:rFonts w:ascii="Garamond" w:hAnsi="Garamond"/>
          <w:lang w:val="en-GB"/>
        </w:rPr>
        <w:t xml:space="preserve"> demo</w:t>
      </w:r>
      <w:r w:rsidR="00A1570F" w:rsidRPr="00A1570F">
        <w:rPr>
          <w:rFonts w:ascii="Garamond" w:hAnsi="Garamond"/>
          <w:lang w:val="en-GB"/>
        </w:rPr>
        <w:t>cracy.</w:t>
      </w:r>
    </w:p>
    <w:p w:rsidR="000D22ED" w:rsidRDefault="000A5C22" w:rsidP="008C48D5">
      <w:pPr>
        <w:jc w:val="both"/>
        <w:rPr>
          <w:rFonts w:ascii="Garamond" w:hAnsi="Garamond"/>
          <w:lang w:val="en-GB"/>
        </w:rPr>
      </w:pPr>
      <w:r>
        <w:rPr>
          <w:rFonts w:ascii="Garamond" w:hAnsi="Garamond"/>
          <w:lang w:val="en-GB"/>
        </w:rPr>
        <w:t xml:space="preserve">  </w:t>
      </w:r>
      <w:r w:rsidR="00FD1E9F">
        <w:rPr>
          <w:rFonts w:ascii="Garamond" w:hAnsi="Garamond"/>
          <w:lang w:val="en-GB"/>
        </w:rPr>
        <w:t xml:space="preserve">  </w:t>
      </w:r>
      <w:r w:rsidR="003D3A9C">
        <w:rPr>
          <w:rFonts w:ascii="Garamond" w:hAnsi="Garamond"/>
          <w:lang w:val="en-GB"/>
        </w:rPr>
        <w:t xml:space="preserve">   </w:t>
      </w:r>
    </w:p>
    <w:p w:rsidR="00B56EFC" w:rsidRDefault="00B56EFC" w:rsidP="008C48D5">
      <w:pPr>
        <w:jc w:val="both"/>
        <w:rPr>
          <w:rFonts w:ascii="Garamond" w:hAnsi="Garamond"/>
          <w:lang w:val="en-GB"/>
        </w:rPr>
      </w:pPr>
      <w:r>
        <w:rPr>
          <w:rFonts w:ascii="Garamond" w:hAnsi="Garamond"/>
          <w:lang w:val="en-GB"/>
        </w:rPr>
        <w:t xml:space="preserve">It seems natural that most actions in this field </w:t>
      </w:r>
      <w:r w:rsidR="008C48D5">
        <w:rPr>
          <w:rFonts w:ascii="Garamond" w:hAnsi="Garamond"/>
          <w:lang w:val="en-GB"/>
        </w:rPr>
        <w:t>take place</w:t>
      </w:r>
      <w:r>
        <w:rPr>
          <w:rFonts w:ascii="Garamond" w:hAnsi="Garamond"/>
          <w:lang w:val="en-GB"/>
        </w:rPr>
        <w:t xml:space="preserve"> on a national level as the governments’ statements give proof of. However, governments and parliaments of the BSR should also more intensively consider what </w:t>
      </w:r>
      <w:r w:rsidR="0061332D">
        <w:rPr>
          <w:rFonts w:ascii="Garamond" w:hAnsi="Garamond"/>
          <w:lang w:val="en-GB"/>
        </w:rPr>
        <w:t xml:space="preserve">tangible </w:t>
      </w:r>
      <w:r>
        <w:rPr>
          <w:rFonts w:ascii="Garamond" w:hAnsi="Garamond"/>
          <w:lang w:val="en-GB"/>
        </w:rPr>
        <w:t>measure</w:t>
      </w:r>
      <w:r w:rsidR="009F479B">
        <w:rPr>
          <w:rFonts w:ascii="Garamond" w:hAnsi="Garamond"/>
          <w:lang w:val="en-GB"/>
        </w:rPr>
        <w:t>s</w:t>
      </w:r>
      <w:r>
        <w:rPr>
          <w:rFonts w:ascii="Garamond" w:hAnsi="Garamond"/>
          <w:lang w:val="en-GB"/>
        </w:rPr>
        <w:t xml:space="preserve"> could be taken jointly since some of the described challeng</w:t>
      </w:r>
      <w:r w:rsidR="001E3A88">
        <w:rPr>
          <w:rFonts w:ascii="Garamond" w:hAnsi="Garamond"/>
          <w:lang w:val="en-GB"/>
        </w:rPr>
        <w:t>e</w:t>
      </w:r>
      <w:r>
        <w:rPr>
          <w:rFonts w:ascii="Garamond" w:hAnsi="Garamond"/>
          <w:lang w:val="en-GB"/>
        </w:rPr>
        <w:t>s do not stop at the borders.</w:t>
      </w:r>
      <w:r w:rsidR="001E3A88">
        <w:rPr>
          <w:rFonts w:ascii="Garamond" w:hAnsi="Garamond"/>
          <w:lang w:val="en-GB"/>
        </w:rPr>
        <w:t xml:space="preserve"> </w:t>
      </w:r>
      <w:r w:rsidR="00DE1C80">
        <w:rPr>
          <w:rFonts w:ascii="Garamond" w:hAnsi="Garamond"/>
          <w:lang w:val="en-GB"/>
        </w:rPr>
        <w:t xml:space="preserve">There definitely is an interest in learning from each other and sharing technology and best practices (Paragraph 10). Mecklenburg-Vorpommern notes the </w:t>
      </w:r>
      <w:r w:rsidR="00DE1C80" w:rsidRPr="00F02039">
        <w:rPr>
          <w:rFonts w:ascii="Garamond" w:hAnsi="Garamond"/>
          <w:lang w:val="en-GB"/>
        </w:rPr>
        <w:t>well-advanced development of internet-based reali</w:t>
      </w:r>
      <w:r w:rsidR="0061332D">
        <w:rPr>
          <w:rFonts w:ascii="Garamond" w:hAnsi="Garamond"/>
          <w:lang w:val="en-GB"/>
        </w:rPr>
        <w:t>s</w:t>
      </w:r>
      <w:r w:rsidR="00DE1C80" w:rsidRPr="00F02039">
        <w:rPr>
          <w:rFonts w:ascii="Garamond" w:hAnsi="Garamond"/>
          <w:lang w:val="en-GB"/>
        </w:rPr>
        <w:t>ations of elections and votes especially in the Baltic countries with interest</w:t>
      </w:r>
      <w:r w:rsidR="00DE1C80">
        <w:rPr>
          <w:rFonts w:ascii="Garamond" w:hAnsi="Garamond"/>
          <w:lang w:val="en-GB"/>
        </w:rPr>
        <w:t>:</w:t>
      </w:r>
      <w:r w:rsidR="00DE1C80" w:rsidRPr="00F02039">
        <w:rPr>
          <w:rFonts w:ascii="Garamond" w:hAnsi="Garamond"/>
          <w:lang w:val="en-GB"/>
        </w:rPr>
        <w:t xml:space="preserve"> </w:t>
      </w:r>
      <w:r w:rsidR="00DE1C80">
        <w:rPr>
          <w:rFonts w:ascii="Garamond" w:hAnsi="Garamond"/>
          <w:lang w:val="en-GB"/>
        </w:rPr>
        <w:t>“a</w:t>
      </w:r>
      <w:r w:rsidR="00DE1C80" w:rsidRPr="00F02039">
        <w:rPr>
          <w:rFonts w:ascii="Garamond" w:hAnsi="Garamond"/>
          <w:lang w:val="en-GB"/>
        </w:rPr>
        <w:t>s far as it is compatible with the German constitution law and the jurisprudence of the Federal Constitution Court, this development could also be an example for Mecklenburg-Vorpommern”</w:t>
      </w:r>
      <w:r w:rsidR="00DE1C80">
        <w:rPr>
          <w:rFonts w:ascii="Garamond" w:hAnsi="Garamond"/>
          <w:lang w:val="en-GB"/>
        </w:rPr>
        <w:t xml:space="preserve">. </w:t>
      </w:r>
      <w:r w:rsidR="001E3A88">
        <w:rPr>
          <w:rFonts w:ascii="Garamond" w:hAnsi="Garamond"/>
          <w:lang w:val="en-GB"/>
        </w:rPr>
        <w:t xml:space="preserve">Denmark explicitly supports the sharing of experiences and best practices among the Baltic Sea states in order to make the region a global frontrunner in the digital area: “ensuring a secure, free, open and peaceful cyberspace requires effective cooperation at all levels”.  </w:t>
      </w:r>
      <w:r>
        <w:rPr>
          <w:rFonts w:ascii="Garamond" w:hAnsi="Garamond"/>
          <w:lang w:val="en-GB"/>
        </w:rPr>
        <w:t xml:space="preserve">     </w:t>
      </w:r>
    </w:p>
    <w:p w:rsidR="00D31FE0" w:rsidRDefault="00D31FE0" w:rsidP="008C48D5">
      <w:pPr>
        <w:jc w:val="both"/>
        <w:rPr>
          <w:rFonts w:ascii="Garamond" w:hAnsi="Garamond"/>
          <w:lang w:val="en-GB"/>
        </w:rPr>
      </w:pPr>
    </w:p>
    <w:p w:rsidR="00486E34" w:rsidRDefault="00486E34" w:rsidP="008C48D5">
      <w:pPr>
        <w:jc w:val="both"/>
        <w:rPr>
          <w:rFonts w:ascii="Garamond" w:hAnsi="Garamond"/>
          <w:lang w:val="en-GB"/>
        </w:rPr>
      </w:pPr>
    </w:p>
    <w:p w:rsidR="00486E34" w:rsidRPr="00F02039" w:rsidRDefault="00486E34" w:rsidP="008C48D5">
      <w:pPr>
        <w:jc w:val="both"/>
        <w:rPr>
          <w:rFonts w:ascii="Garamond" w:hAnsi="Garamond"/>
          <w:lang w:val="en-GB"/>
        </w:rPr>
      </w:pPr>
    </w:p>
    <w:p w:rsidR="00220F3F" w:rsidRDefault="00220F3F" w:rsidP="008C48D5">
      <w:pPr>
        <w:jc w:val="both"/>
        <w:rPr>
          <w:rFonts w:ascii="Garamond" w:hAnsi="Garamond"/>
          <w:b/>
          <w:sz w:val="26"/>
          <w:szCs w:val="26"/>
          <w:lang w:val="en-GB"/>
        </w:rPr>
      </w:pPr>
    </w:p>
    <w:p w:rsidR="000D22ED" w:rsidRPr="001B4306" w:rsidRDefault="000D22ED" w:rsidP="008C48D5">
      <w:pPr>
        <w:pStyle w:val="Listenabsatz"/>
        <w:numPr>
          <w:ilvl w:val="1"/>
          <w:numId w:val="9"/>
        </w:numPr>
        <w:jc w:val="both"/>
        <w:rPr>
          <w:rFonts w:ascii="Garamond" w:hAnsi="Garamond"/>
          <w:b/>
          <w:sz w:val="26"/>
          <w:szCs w:val="26"/>
          <w:lang w:val="en-GB"/>
        </w:rPr>
      </w:pPr>
      <w:r w:rsidRPr="001B4306">
        <w:rPr>
          <w:rFonts w:ascii="Garamond" w:hAnsi="Garamond"/>
          <w:b/>
          <w:sz w:val="26"/>
          <w:szCs w:val="26"/>
          <w:lang w:val="en-GB"/>
        </w:rPr>
        <w:lastRenderedPageBreak/>
        <w:t>Assessment regarding the chapter “</w:t>
      </w:r>
      <w:r w:rsidR="006A0A19">
        <w:rPr>
          <w:rFonts w:ascii="Garamond" w:eastAsia="Cambria" w:hAnsi="Garamond" w:cs="Times New Roman"/>
          <w:b/>
          <w:sz w:val="26"/>
          <w:szCs w:val="26"/>
          <w:lang w:val="en-GB"/>
        </w:rPr>
        <w:t>Innovative Science and Research</w:t>
      </w:r>
      <w:r w:rsidRPr="001B4306">
        <w:rPr>
          <w:rFonts w:ascii="Garamond" w:hAnsi="Garamond"/>
          <w:b/>
          <w:sz w:val="26"/>
          <w:szCs w:val="26"/>
          <w:lang w:val="en-GB"/>
        </w:rPr>
        <w:t>”</w:t>
      </w:r>
    </w:p>
    <w:p w:rsidR="000D22ED" w:rsidRDefault="000D22ED" w:rsidP="008C48D5">
      <w:pPr>
        <w:jc w:val="both"/>
        <w:rPr>
          <w:rFonts w:ascii="Garamond" w:hAnsi="Garamond"/>
          <w:sz w:val="22"/>
          <w:szCs w:val="22"/>
          <w:lang w:val="en-GB"/>
        </w:rPr>
      </w:pPr>
    </w:p>
    <w:p w:rsidR="00CC5855" w:rsidRPr="00F02039" w:rsidRDefault="00CC5855" w:rsidP="008C48D5">
      <w:pPr>
        <w:jc w:val="both"/>
        <w:rPr>
          <w:rFonts w:ascii="Garamond" w:hAnsi="Garamond"/>
          <w:lang w:val="en-GB"/>
        </w:rPr>
      </w:pPr>
      <w:r w:rsidRPr="00F02039">
        <w:rPr>
          <w:rFonts w:ascii="Garamond" w:hAnsi="Garamond"/>
          <w:lang w:val="en-GB"/>
        </w:rPr>
        <w:t>The</w:t>
      </w:r>
      <w:r w:rsidR="0061332D">
        <w:rPr>
          <w:rFonts w:ascii="Garamond" w:hAnsi="Garamond"/>
          <w:lang w:val="en-GB"/>
        </w:rPr>
        <w:t xml:space="preserve"> governmental s</w:t>
      </w:r>
      <w:r w:rsidRPr="00F02039">
        <w:rPr>
          <w:rFonts w:ascii="Garamond" w:hAnsi="Garamond"/>
          <w:lang w:val="en-GB"/>
        </w:rPr>
        <w:t xml:space="preserve">tatements </w:t>
      </w:r>
      <w:r w:rsidR="00175277">
        <w:rPr>
          <w:rFonts w:ascii="Garamond" w:hAnsi="Garamond"/>
          <w:lang w:val="en-GB"/>
        </w:rPr>
        <w:t xml:space="preserve">of which most address this section </w:t>
      </w:r>
      <w:r w:rsidRPr="00F02039">
        <w:rPr>
          <w:rFonts w:ascii="Garamond" w:hAnsi="Garamond"/>
          <w:lang w:val="en-GB"/>
        </w:rPr>
        <w:t xml:space="preserve">cover a plurality of interesting projects pertaining to the Resolution’s call for intensifying scientific cooperation (Paragraph 16). </w:t>
      </w:r>
      <w:r w:rsidR="005622E8">
        <w:rPr>
          <w:rFonts w:ascii="Garamond" w:hAnsi="Garamond"/>
          <w:lang w:val="en-GB"/>
        </w:rPr>
        <w:t>M</w:t>
      </w:r>
      <w:r w:rsidRPr="00F02039">
        <w:rPr>
          <w:rFonts w:ascii="Garamond" w:hAnsi="Garamond"/>
          <w:lang w:val="en-GB"/>
        </w:rPr>
        <w:t xml:space="preserve">any </w:t>
      </w:r>
      <w:r w:rsidR="005622E8">
        <w:rPr>
          <w:rFonts w:ascii="Garamond" w:hAnsi="Garamond"/>
          <w:lang w:val="en-GB"/>
        </w:rPr>
        <w:t xml:space="preserve">of the described </w:t>
      </w:r>
      <w:r w:rsidRPr="00F02039">
        <w:rPr>
          <w:rFonts w:ascii="Garamond" w:hAnsi="Garamond"/>
          <w:lang w:val="en-GB"/>
        </w:rPr>
        <w:t>activities</w:t>
      </w:r>
      <w:r w:rsidR="005622E8">
        <w:rPr>
          <w:rFonts w:ascii="Garamond" w:hAnsi="Garamond"/>
          <w:lang w:val="en-GB"/>
        </w:rPr>
        <w:t xml:space="preserve"> in this field</w:t>
      </w:r>
      <w:r w:rsidRPr="00F02039">
        <w:rPr>
          <w:rFonts w:ascii="Garamond" w:hAnsi="Garamond"/>
          <w:lang w:val="en-GB"/>
        </w:rPr>
        <w:t xml:space="preserve"> are set in a regional context. For instance, </w:t>
      </w:r>
      <w:r w:rsidR="005622E8">
        <w:rPr>
          <w:rFonts w:ascii="Garamond" w:hAnsi="Garamond"/>
          <w:lang w:val="en-GB"/>
        </w:rPr>
        <w:t xml:space="preserve">the </w:t>
      </w:r>
      <w:r w:rsidRPr="00F02039">
        <w:rPr>
          <w:rFonts w:ascii="Garamond" w:hAnsi="Garamond"/>
          <w:lang w:val="en-GB"/>
        </w:rPr>
        <w:t>Lithuanian government notes that the Baltic Ministers of Education and Science agreed in June 2017 to establish a joint Baltic Research Programme. The Programme</w:t>
      </w:r>
      <w:r w:rsidR="0061332D">
        <w:rPr>
          <w:rFonts w:ascii="Garamond" w:hAnsi="Garamond"/>
          <w:lang w:val="en-GB"/>
        </w:rPr>
        <w:t>’s</w:t>
      </w:r>
      <w:r w:rsidRPr="00F02039">
        <w:rPr>
          <w:rFonts w:ascii="Garamond" w:hAnsi="Garamond"/>
          <w:lang w:val="en-GB"/>
        </w:rPr>
        <w:t xml:space="preserve"> </w:t>
      </w:r>
      <w:r w:rsidR="0061332D">
        <w:rPr>
          <w:rFonts w:ascii="Garamond" w:hAnsi="Garamond"/>
          <w:lang w:val="en-GB"/>
        </w:rPr>
        <w:t xml:space="preserve">aim </w:t>
      </w:r>
      <w:r w:rsidRPr="00F02039">
        <w:rPr>
          <w:rFonts w:ascii="Garamond" w:hAnsi="Garamond"/>
          <w:lang w:val="en-GB"/>
        </w:rPr>
        <w:t>is to “offer broad and sustainable cooperation opportunities between researchers and re-search institutions in the Baltic States” in response to common challenges. Particularly interesting is also the “Multi-Use in European Seas (MUSES)” project as reported by the government of Poland. The MUSES project will explore opportunities for (re-)using scientific data and insights across five sea basins: the Baltic Sea, the North Sea, the Mediterranean Sea, the Black Sea and the Eastern Atlantic. We highly welcome this ambitious goal to make inter-regional activities more compatible.</w:t>
      </w:r>
    </w:p>
    <w:p w:rsidR="00CC5855" w:rsidRPr="00F02039" w:rsidRDefault="00CC5855" w:rsidP="008C48D5">
      <w:pPr>
        <w:jc w:val="both"/>
        <w:rPr>
          <w:rFonts w:ascii="Garamond" w:hAnsi="Garamond"/>
          <w:lang w:val="en-GB"/>
        </w:rPr>
      </w:pPr>
    </w:p>
    <w:p w:rsidR="00CC5855" w:rsidRPr="00F02039" w:rsidRDefault="00CC5855" w:rsidP="008C48D5">
      <w:pPr>
        <w:jc w:val="both"/>
        <w:rPr>
          <w:rFonts w:ascii="Garamond" w:hAnsi="Garamond"/>
          <w:lang w:val="en-GB"/>
        </w:rPr>
      </w:pPr>
      <w:r w:rsidRPr="00F02039">
        <w:rPr>
          <w:rFonts w:ascii="Garamond" w:hAnsi="Garamond"/>
          <w:lang w:val="en-GB"/>
        </w:rPr>
        <w:t xml:space="preserve">Having said that, a number of requests and ideas of the Resolution receive only limited coverage. For instance, </w:t>
      </w:r>
      <w:r w:rsidR="0061332D">
        <w:rPr>
          <w:rFonts w:ascii="Garamond" w:hAnsi="Garamond"/>
          <w:lang w:val="en-GB"/>
        </w:rPr>
        <w:t xml:space="preserve">while </w:t>
      </w:r>
      <w:r w:rsidRPr="00F02039">
        <w:rPr>
          <w:rFonts w:ascii="Garamond" w:hAnsi="Garamond"/>
          <w:lang w:val="en-GB"/>
        </w:rPr>
        <w:t>several governments like</w:t>
      </w:r>
      <w:r w:rsidR="0061332D">
        <w:rPr>
          <w:rFonts w:ascii="Garamond" w:hAnsi="Garamond"/>
          <w:lang w:val="en-GB"/>
        </w:rPr>
        <w:t xml:space="preserve"> Hamburg as the initiator,</w:t>
      </w:r>
      <w:r w:rsidRPr="00F02039">
        <w:rPr>
          <w:rFonts w:ascii="Garamond" w:hAnsi="Garamond"/>
          <w:lang w:val="en-GB"/>
        </w:rPr>
        <w:t xml:space="preserve"> Mecklenburg-Vorpommern</w:t>
      </w:r>
      <w:r w:rsidR="0061332D">
        <w:rPr>
          <w:rFonts w:ascii="Garamond" w:hAnsi="Garamond"/>
          <w:lang w:val="en-GB"/>
        </w:rPr>
        <w:t>, the German Federal Government,</w:t>
      </w:r>
      <w:r w:rsidR="00E41817">
        <w:rPr>
          <w:rFonts w:ascii="Garamond" w:hAnsi="Garamond"/>
          <w:lang w:val="en-GB"/>
        </w:rPr>
        <w:t xml:space="preserve"> Schleswig-Holstein,</w:t>
      </w:r>
      <w:r w:rsidR="0061332D">
        <w:rPr>
          <w:rFonts w:ascii="Garamond" w:hAnsi="Garamond"/>
          <w:lang w:val="en-GB"/>
        </w:rPr>
        <w:t xml:space="preserve"> Denmark, Latvia and Estonia</w:t>
      </w:r>
      <w:r w:rsidRPr="00F02039">
        <w:rPr>
          <w:rFonts w:ascii="Garamond" w:hAnsi="Garamond"/>
          <w:lang w:val="en-GB"/>
        </w:rPr>
        <w:t xml:space="preserve"> express their general support for the existing Baltic Science Network (Paragraph 17)</w:t>
      </w:r>
      <w:r w:rsidR="0061332D">
        <w:rPr>
          <w:rFonts w:ascii="Garamond" w:hAnsi="Garamond"/>
          <w:lang w:val="en-GB"/>
        </w:rPr>
        <w:t>,</w:t>
      </w:r>
      <w:r w:rsidRPr="00F02039">
        <w:rPr>
          <w:rFonts w:ascii="Garamond" w:hAnsi="Garamond"/>
          <w:lang w:val="en-GB"/>
        </w:rPr>
        <w:t xml:space="preserve"> </w:t>
      </w:r>
      <w:r w:rsidR="0061332D">
        <w:rPr>
          <w:rFonts w:ascii="Garamond" w:hAnsi="Garamond"/>
          <w:lang w:val="en-GB"/>
        </w:rPr>
        <w:t>most</w:t>
      </w:r>
      <w:r w:rsidR="005622E8">
        <w:rPr>
          <w:rFonts w:ascii="Garamond" w:hAnsi="Garamond"/>
          <w:lang w:val="en-GB"/>
        </w:rPr>
        <w:t xml:space="preserve"> governmental statements contain </w:t>
      </w:r>
      <w:r w:rsidR="0061332D">
        <w:rPr>
          <w:rFonts w:ascii="Garamond" w:hAnsi="Garamond"/>
          <w:lang w:val="en-GB"/>
        </w:rPr>
        <w:t xml:space="preserve">just </w:t>
      </w:r>
      <w:r w:rsidR="005622E8">
        <w:rPr>
          <w:rFonts w:ascii="Garamond" w:hAnsi="Garamond"/>
          <w:lang w:val="en-GB"/>
        </w:rPr>
        <w:t xml:space="preserve">general </w:t>
      </w:r>
      <w:r w:rsidR="002025F9">
        <w:rPr>
          <w:rFonts w:ascii="Garamond" w:hAnsi="Garamond"/>
          <w:lang w:val="en-GB"/>
        </w:rPr>
        <w:t xml:space="preserve">lengthy </w:t>
      </w:r>
      <w:r w:rsidR="005622E8">
        <w:rPr>
          <w:rFonts w:ascii="Garamond" w:hAnsi="Garamond"/>
          <w:lang w:val="en-GB"/>
        </w:rPr>
        <w:t>descriptions of the Network and its activities.</w:t>
      </w:r>
      <w:r w:rsidR="00222CC9">
        <w:rPr>
          <w:rFonts w:ascii="Garamond" w:hAnsi="Garamond"/>
          <w:lang w:val="en-GB"/>
        </w:rPr>
        <w:t xml:space="preserve"> </w:t>
      </w:r>
      <w:r w:rsidR="0061332D" w:rsidRPr="00F02039">
        <w:rPr>
          <w:rFonts w:ascii="Garamond" w:hAnsi="Garamond"/>
          <w:lang w:val="en-GB"/>
        </w:rPr>
        <w:t xml:space="preserve">However, </w:t>
      </w:r>
      <w:r w:rsidR="0061332D">
        <w:rPr>
          <w:rFonts w:ascii="Garamond" w:hAnsi="Garamond"/>
          <w:lang w:val="en-GB"/>
        </w:rPr>
        <w:t>governments propose only few</w:t>
      </w:r>
      <w:r w:rsidR="0061332D" w:rsidRPr="00F02039">
        <w:rPr>
          <w:rFonts w:ascii="Garamond" w:hAnsi="Garamond"/>
          <w:lang w:val="en-GB"/>
        </w:rPr>
        <w:t xml:space="preserve"> tangible activities on how to develop and strengthen the Network.</w:t>
      </w:r>
      <w:r w:rsidR="0061332D">
        <w:rPr>
          <w:rFonts w:ascii="Garamond" w:hAnsi="Garamond"/>
          <w:lang w:val="en-GB"/>
        </w:rPr>
        <w:t xml:space="preserve"> At least, </w:t>
      </w:r>
      <w:r w:rsidR="00222CC9">
        <w:rPr>
          <w:rFonts w:ascii="Garamond" w:hAnsi="Garamond"/>
          <w:lang w:val="en-GB"/>
        </w:rPr>
        <w:t>Germany and Latvia support the Network’s efforts to increase and improve the mobility of researchers around the region (Paragraph 27).</w:t>
      </w:r>
      <w:r w:rsidR="005622E8">
        <w:rPr>
          <w:rFonts w:ascii="Garamond" w:hAnsi="Garamond"/>
          <w:lang w:val="en-GB"/>
        </w:rPr>
        <w:t xml:space="preserve"> </w:t>
      </w:r>
      <w:r w:rsidR="0061332D">
        <w:rPr>
          <w:rFonts w:ascii="Garamond" w:hAnsi="Garamond"/>
          <w:lang w:val="en-GB"/>
        </w:rPr>
        <w:t>For this purpose</w:t>
      </w:r>
      <w:r w:rsidR="00222CC9">
        <w:rPr>
          <w:rFonts w:ascii="Garamond" w:hAnsi="Garamond"/>
          <w:lang w:val="en-GB"/>
        </w:rPr>
        <w:t xml:space="preserve">, the German Federal Government suggests that mobility of researchers could be supported by existing programmes of the German Academic Exchange service (DAAD) and the Alexander von Humboldt Foundation. The Latvian Government </w:t>
      </w:r>
      <w:r w:rsidR="00AD07AD">
        <w:rPr>
          <w:rFonts w:ascii="Garamond" w:hAnsi="Garamond"/>
          <w:lang w:val="en-GB"/>
        </w:rPr>
        <w:t>stresses that opportunities in the BSR need to be made better known with an emphasis on early career researcher</w:t>
      </w:r>
      <w:r w:rsidR="00F50B46">
        <w:rPr>
          <w:rFonts w:ascii="Garamond" w:hAnsi="Garamond"/>
          <w:lang w:val="en-GB"/>
        </w:rPr>
        <w:t>s</w:t>
      </w:r>
      <w:r w:rsidR="00AD07AD">
        <w:rPr>
          <w:rFonts w:ascii="Garamond" w:hAnsi="Garamond"/>
          <w:lang w:val="en-GB"/>
        </w:rPr>
        <w:t>.</w:t>
      </w:r>
      <w:r w:rsidR="00222CC9">
        <w:rPr>
          <w:rFonts w:ascii="Garamond" w:hAnsi="Garamond"/>
          <w:lang w:val="en-GB"/>
        </w:rPr>
        <w:t xml:space="preserve"> </w:t>
      </w:r>
      <w:r w:rsidRPr="00F02039">
        <w:rPr>
          <w:rFonts w:ascii="Garamond" w:hAnsi="Garamond"/>
          <w:lang w:val="en-GB"/>
        </w:rPr>
        <w:t>The same applies to the Baltic Sea Science Day (Paragraph 23). While its debut in 2017 in St. Petersburg</w:t>
      </w:r>
      <w:r w:rsidR="00222CC9">
        <w:rPr>
          <w:rFonts w:ascii="Garamond" w:hAnsi="Garamond"/>
          <w:lang w:val="en-GB"/>
        </w:rPr>
        <w:t xml:space="preserve"> and the follow-up in Turku</w:t>
      </w:r>
      <w:r w:rsidRPr="00F02039">
        <w:rPr>
          <w:rFonts w:ascii="Garamond" w:hAnsi="Garamond"/>
          <w:lang w:val="en-GB"/>
        </w:rPr>
        <w:t xml:space="preserve"> </w:t>
      </w:r>
      <w:r w:rsidR="00222CC9">
        <w:rPr>
          <w:rFonts w:ascii="Garamond" w:hAnsi="Garamond"/>
          <w:lang w:val="en-GB"/>
        </w:rPr>
        <w:t>are</w:t>
      </w:r>
      <w:r w:rsidRPr="00F02039">
        <w:rPr>
          <w:rFonts w:ascii="Garamond" w:hAnsi="Garamond"/>
          <w:lang w:val="en-GB"/>
        </w:rPr>
        <w:t xml:space="preserve"> broadly seen as a success, </w:t>
      </w:r>
      <w:r w:rsidR="00AD07AD">
        <w:rPr>
          <w:rFonts w:ascii="Garamond" w:hAnsi="Garamond"/>
          <w:lang w:val="en-GB"/>
        </w:rPr>
        <w:t>few</w:t>
      </w:r>
      <w:r w:rsidRPr="00F02039">
        <w:rPr>
          <w:rFonts w:ascii="Garamond" w:hAnsi="Garamond"/>
          <w:lang w:val="en-GB"/>
        </w:rPr>
        <w:t xml:space="preserve"> concrete suggestion</w:t>
      </w:r>
      <w:r w:rsidR="00AD07AD">
        <w:rPr>
          <w:rFonts w:ascii="Garamond" w:hAnsi="Garamond"/>
          <w:lang w:val="en-GB"/>
        </w:rPr>
        <w:t>s have been</w:t>
      </w:r>
      <w:r w:rsidRPr="00F02039">
        <w:rPr>
          <w:rFonts w:ascii="Garamond" w:hAnsi="Garamond"/>
          <w:lang w:val="en-GB"/>
        </w:rPr>
        <w:t xml:space="preserve"> made on how to build upon this new initiative.</w:t>
      </w:r>
      <w:r w:rsidR="00AD07AD">
        <w:rPr>
          <w:rFonts w:ascii="Garamond" w:hAnsi="Garamond"/>
          <w:lang w:val="en-GB"/>
        </w:rPr>
        <w:t xml:space="preserve"> At least</w:t>
      </w:r>
      <w:r w:rsidR="0061332D">
        <w:rPr>
          <w:rFonts w:ascii="Garamond" w:hAnsi="Garamond"/>
          <w:lang w:val="en-GB"/>
        </w:rPr>
        <w:t>,</w:t>
      </w:r>
      <w:r w:rsidR="00AD07AD">
        <w:rPr>
          <w:rFonts w:ascii="Garamond" w:hAnsi="Garamond"/>
          <w:lang w:val="en-GB"/>
        </w:rPr>
        <w:t xml:space="preserve"> Germany and Latvia mention that the next event is to take place in Riga in 2019</w:t>
      </w:r>
      <w:r w:rsidR="0061332D">
        <w:rPr>
          <w:rFonts w:ascii="Garamond" w:hAnsi="Garamond"/>
          <w:lang w:val="en-GB"/>
        </w:rPr>
        <w:t xml:space="preserve"> and its preparation is under way</w:t>
      </w:r>
      <w:r w:rsidR="00AD07AD">
        <w:rPr>
          <w:rFonts w:ascii="Garamond" w:hAnsi="Garamond"/>
          <w:lang w:val="en-GB"/>
        </w:rPr>
        <w:t>.</w:t>
      </w:r>
      <w:r w:rsidR="00222CC9">
        <w:rPr>
          <w:rFonts w:ascii="Garamond" w:hAnsi="Garamond"/>
          <w:lang w:val="en-GB"/>
        </w:rPr>
        <w:t xml:space="preserve"> </w:t>
      </w:r>
      <w:r w:rsidRPr="00F02039">
        <w:rPr>
          <w:rFonts w:ascii="Garamond" w:hAnsi="Garamond"/>
          <w:lang w:val="en-GB"/>
        </w:rPr>
        <w:t xml:space="preserve">Finally, only few </w:t>
      </w:r>
      <w:r w:rsidR="0061332D">
        <w:rPr>
          <w:rFonts w:ascii="Garamond" w:hAnsi="Garamond"/>
          <w:lang w:val="en-GB"/>
        </w:rPr>
        <w:t>s</w:t>
      </w:r>
      <w:r w:rsidRPr="00F02039">
        <w:rPr>
          <w:rFonts w:ascii="Garamond" w:hAnsi="Garamond"/>
          <w:lang w:val="en-GB"/>
        </w:rPr>
        <w:t>tatements report on projects support</w:t>
      </w:r>
      <w:r w:rsidR="0061332D">
        <w:rPr>
          <w:rFonts w:ascii="Garamond" w:hAnsi="Garamond"/>
          <w:lang w:val="en-GB"/>
        </w:rPr>
        <w:t>ing</w:t>
      </w:r>
      <w:r w:rsidRPr="00F02039">
        <w:rPr>
          <w:rFonts w:ascii="Garamond" w:hAnsi="Garamond"/>
          <w:lang w:val="en-GB"/>
        </w:rPr>
        <w:t xml:space="preserve"> the Resolution’s call to “strengthen citizen awareness of education and science” (Paragraph 22). Especially interesting is the project “EDU-ARCTIC” as described by the Polish government. The project is “focused on attracting young people from Europe to natural sciences and polar research by introducing innovative program based on materials from stations in the Arctic”. Moreover, it is also implemented in a </w:t>
      </w:r>
      <w:r w:rsidR="0061332D">
        <w:rPr>
          <w:rFonts w:ascii="Garamond" w:hAnsi="Garamond"/>
          <w:lang w:val="en-GB"/>
        </w:rPr>
        <w:t xml:space="preserve">wider </w:t>
      </w:r>
      <w:r w:rsidRPr="00F02039">
        <w:rPr>
          <w:rFonts w:ascii="Garamond" w:hAnsi="Garamond"/>
          <w:lang w:val="en-GB"/>
        </w:rPr>
        <w:t xml:space="preserve">regional framework as partners from Norway, Iceland, France and </w:t>
      </w:r>
      <w:r w:rsidR="0061332D">
        <w:rPr>
          <w:rFonts w:ascii="Garamond" w:hAnsi="Garamond"/>
          <w:lang w:val="en-GB"/>
        </w:rPr>
        <w:t xml:space="preserve">the </w:t>
      </w:r>
      <w:r w:rsidRPr="00F02039">
        <w:rPr>
          <w:rFonts w:ascii="Garamond" w:hAnsi="Garamond"/>
          <w:lang w:val="en-GB"/>
        </w:rPr>
        <w:t>Faroe Islands are involved.</w:t>
      </w:r>
      <w:r w:rsidR="004C3AC1">
        <w:rPr>
          <w:rFonts w:ascii="Garamond" w:hAnsi="Garamond"/>
          <w:lang w:val="en-GB"/>
        </w:rPr>
        <w:t xml:space="preserve"> Schleswig-Holstein reports on activities and projects within the trans-national SUBMARINER Network, working for a sustainable use of maritime resources</w:t>
      </w:r>
      <w:r w:rsidR="000F1CE7">
        <w:rPr>
          <w:rFonts w:ascii="Garamond" w:hAnsi="Garamond"/>
          <w:lang w:val="en-GB"/>
        </w:rPr>
        <w:t>,</w:t>
      </w:r>
      <w:r w:rsidR="004C3AC1">
        <w:rPr>
          <w:rFonts w:ascii="Garamond" w:hAnsi="Garamond"/>
          <w:lang w:val="en-GB"/>
        </w:rPr>
        <w:t xml:space="preserve"> in which the state government is engaged. It includes projects such as </w:t>
      </w:r>
      <w:r w:rsidR="000F1CE7" w:rsidRPr="000F1CE7">
        <w:rPr>
          <w:rFonts w:ascii="Garamond" w:hAnsi="Garamond"/>
          <w:i/>
          <w:lang w:val="en-GB"/>
        </w:rPr>
        <w:t xml:space="preserve">Smart Blue Region, the Blue Biotechnology Alliance </w:t>
      </w:r>
      <w:r w:rsidR="000F1CE7" w:rsidRPr="000F1CE7">
        <w:rPr>
          <w:rFonts w:ascii="Garamond" w:hAnsi="Garamond"/>
          <w:lang w:val="en-GB"/>
        </w:rPr>
        <w:t xml:space="preserve">and </w:t>
      </w:r>
      <w:r w:rsidR="000F1CE7" w:rsidRPr="000F1CE7">
        <w:rPr>
          <w:rFonts w:ascii="Garamond" w:hAnsi="Garamond"/>
          <w:i/>
          <w:lang w:val="en-GB"/>
        </w:rPr>
        <w:t>Baltic Blue Growth</w:t>
      </w:r>
      <w:r w:rsidR="000F1CE7">
        <w:rPr>
          <w:rFonts w:ascii="Garamond" w:hAnsi="Garamond"/>
          <w:lang w:val="en-GB"/>
        </w:rPr>
        <w:t>.</w:t>
      </w:r>
      <w:r w:rsidR="004C3AC1">
        <w:rPr>
          <w:rFonts w:ascii="Garamond" w:hAnsi="Garamond"/>
          <w:lang w:val="en-GB"/>
        </w:rPr>
        <w:t xml:space="preserve">  </w:t>
      </w:r>
    </w:p>
    <w:p w:rsidR="00CC5855" w:rsidRDefault="00CC5855" w:rsidP="008C48D5">
      <w:pPr>
        <w:jc w:val="both"/>
        <w:rPr>
          <w:rFonts w:ascii="Garamond" w:hAnsi="Garamond"/>
          <w:lang w:val="en-GB"/>
        </w:rPr>
      </w:pPr>
    </w:p>
    <w:p w:rsidR="00CC5855" w:rsidRDefault="00747B47" w:rsidP="008C48D5">
      <w:pPr>
        <w:jc w:val="both"/>
        <w:rPr>
          <w:rFonts w:ascii="Garamond" w:hAnsi="Garamond"/>
          <w:lang w:val="en-GB"/>
        </w:rPr>
      </w:pPr>
      <w:r>
        <w:rPr>
          <w:rFonts w:ascii="Garamond" w:hAnsi="Garamond"/>
          <w:lang w:val="en-GB"/>
        </w:rPr>
        <w:t>Regrettably</w:t>
      </w:r>
      <w:r w:rsidR="00CC5855" w:rsidRPr="00F02039">
        <w:rPr>
          <w:rFonts w:ascii="Garamond" w:hAnsi="Garamond"/>
          <w:lang w:val="en-GB"/>
        </w:rPr>
        <w:t xml:space="preserve"> the governments are notably silent on their national and regional activities regarding providing sustainable resources for science and research (Paragraph</w:t>
      </w:r>
      <w:r w:rsidR="00A1570F">
        <w:rPr>
          <w:rFonts w:ascii="Garamond" w:hAnsi="Garamond"/>
          <w:lang w:val="en-GB"/>
        </w:rPr>
        <w:t>s</w:t>
      </w:r>
      <w:r w:rsidR="00CC5855" w:rsidRPr="00F02039">
        <w:rPr>
          <w:rFonts w:ascii="Garamond" w:hAnsi="Garamond"/>
          <w:lang w:val="en-GB"/>
        </w:rPr>
        <w:t xml:space="preserve"> 18 and 20). We believe that science and research needs greater and permanent investment in order to be innovative and contribute to the societal progress. Bilateral and regional programmes could make an important contribution to this end.</w:t>
      </w:r>
      <w:r w:rsidR="002025F9">
        <w:rPr>
          <w:rFonts w:ascii="Garamond" w:hAnsi="Garamond"/>
          <w:lang w:val="en-GB"/>
        </w:rPr>
        <w:t xml:space="preserve"> However, Denmark states explicitly that “BSR-wide scientific cooperation and mobility should be primarily facilitated via the European Union’s framework programme and its related programmes, such as BONUS and the tentative BONUS II programme” (Paragraph 24). These would provide high and concrete added value to regional stakeholders in terms of funding and mobility instruments.</w:t>
      </w:r>
      <w:r w:rsidR="00CC5855" w:rsidRPr="00F02039">
        <w:rPr>
          <w:rFonts w:ascii="Garamond" w:hAnsi="Garamond"/>
          <w:lang w:val="en-GB"/>
        </w:rPr>
        <w:t xml:space="preserve"> In addition, science and research thrive on international exchange. It is therefore also unfortunate that only few governments (e.g. Mecklenburg-Vorpommern) list projects concerning short-term mobility for the academic community in terms of stipend programmes and summer schools (Paragraph 20).</w:t>
      </w:r>
    </w:p>
    <w:p w:rsidR="000D22ED" w:rsidRPr="001B4306" w:rsidRDefault="000D22ED" w:rsidP="008C48D5">
      <w:pPr>
        <w:pStyle w:val="Listenabsatz"/>
        <w:numPr>
          <w:ilvl w:val="1"/>
          <w:numId w:val="9"/>
        </w:numPr>
        <w:jc w:val="both"/>
        <w:rPr>
          <w:rFonts w:ascii="Garamond" w:hAnsi="Garamond"/>
          <w:b/>
          <w:sz w:val="26"/>
          <w:szCs w:val="26"/>
          <w:lang w:val="en-GB"/>
        </w:rPr>
      </w:pPr>
      <w:r w:rsidRPr="001B4306">
        <w:rPr>
          <w:rFonts w:ascii="Garamond" w:hAnsi="Garamond"/>
          <w:b/>
          <w:sz w:val="26"/>
          <w:szCs w:val="26"/>
          <w:lang w:val="en-GB"/>
        </w:rPr>
        <w:lastRenderedPageBreak/>
        <w:t>Assessment regarding the chapter “</w:t>
      </w:r>
      <w:r w:rsidRPr="001B4306">
        <w:rPr>
          <w:rFonts w:ascii="Garamond" w:eastAsia="Cambria" w:hAnsi="Garamond" w:cs="Times New Roman"/>
          <w:b/>
          <w:sz w:val="26"/>
          <w:szCs w:val="26"/>
          <w:lang w:val="en-GB"/>
        </w:rPr>
        <w:t>Sustainable Tourism</w:t>
      </w:r>
      <w:r w:rsidRPr="001B4306">
        <w:rPr>
          <w:rFonts w:ascii="Garamond" w:hAnsi="Garamond"/>
          <w:b/>
          <w:sz w:val="26"/>
          <w:szCs w:val="26"/>
          <w:lang w:val="en-GB"/>
        </w:rPr>
        <w:t>”</w:t>
      </w:r>
    </w:p>
    <w:p w:rsidR="000D22ED" w:rsidRDefault="000D22ED" w:rsidP="008C48D5">
      <w:pPr>
        <w:jc w:val="both"/>
        <w:rPr>
          <w:rFonts w:ascii="Garamond" w:hAnsi="Garamond"/>
          <w:sz w:val="22"/>
          <w:szCs w:val="22"/>
          <w:lang w:val="en-GB"/>
        </w:rPr>
      </w:pPr>
    </w:p>
    <w:p w:rsidR="008A5A4D" w:rsidRDefault="002C6C88" w:rsidP="008C48D5">
      <w:pPr>
        <w:jc w:val="both"/>
        <w:rPr>
          <w:rFonts w:ascii="Garamond" w:hAnsi="Garamond"/>
          <w:lang w:val="en-GB"/>
        </w:rPr>
      </w:pPr>
      <w:r w:rsidRPr="00534B16">
        <w:rPr>
          <w:rFonts w:ascii="Garamond" w:hAnsi="Garamond"/>
          <w:lang w:val="en-GB"/>
        </w:rPr>
        <w:t>A</w:t>
      </w:r>
      <w:r w:rsidR="00C519B2">
        <w:rPr>
          <w:rFonts w:ascii="Garamond" w:hAnsi="Garamond"/>
          <w:lang w:val="en-GB"/>
        </w:rPr>
        <w:t>s already in 2017 most</w:t>
      </w:r>
      <w:r w:rsidRPr="00534B16">
        <w:rPr>
          <w:rFonts w:ascii="Garamond" w:hAnsi="Garamond"/>
          <w:lang w:val="en-GB"/>
        </w:rPr>
        <w:t xml:space="preserve"> responding governments dedicate some space to the Resolution’</w:t>
      </w:r>
      <w:r w:rsidR="009B64A6">
        <w:rPr>
          <w:rFonts w:ascii="Garamond" w:hAnsi="Garamond"/>
          <w:lang w:val="en-GB"/>
        </w:rPr>
        <w:t>s</w:t>
      </w:r>
      <w:r w:rsidRPr="00534B16">
        <w:rPr>
          <w:rFonts w:ascii="Garamond" w:hAnsi="Garamond"/>
          <w:lang w:val="en-GB"/>
        </w:rPr>
        <w:t xml:space="preserve"> chapter on sustainable tourism. </w:t>
      </w:r>
      <w:r w:rsidR="00FF0779">
        <w:rPr>
          <w:rFonts w:ascii="Garamond" w:hAnsi="Garamond"/>
          <w:lang w:val="en-GB"/>
        </w:rPr>
        <w:t>T</w:t>
      </w:r>
      <w:r w:rsidRPr="00534B16">
        <w:rPr>
          <w:rFonts w:ascii="Garamond" w:hAnsi="Garamond"/>
          <w:lang w:val="en-GB"/>
        </w:rPr>
        <w:t>he focus lies on national measures to promote sustainable tourism</w:t>
      </w:r>
      <w:r w:rsidR="00A61D85">
        <w:rPr>
          <w:rFonts w:ascii="Garamond" w:hAnsi="Garamond"/>
          <w:lang w:val="en-GB"/>
        </w:rPr>
        <w:t xml:space="preserve"> </w:t>
      </w:r>
      <w:r w:rsidR="00A61D85" w:rsidRPr="00617DBC">
        <w:rPr>
          <w:rFonts w:ascii="Garamond" w:hAnsi="Garamond"/>
          <w:lang w:val="en-GB"/>
        </w:rPr>
        <w:t>within their respective countries</w:t>
      </w:r>
      <w:r w:rsidR="000F457E">
        <w:rPr>
          <w:rFonts w:ascii="Garamond" w:hAnsi="Garamond"/>
          <w:lang w:val="en-GB"/>
        </w:rPr>
        <w:t xml:space="preserve"> but also several regional initiatives find mentioning</w:t>
      </w:r>
      <w:r w:rsidRPr="00534B16">
        <w:rPr>
          <w:rFonts w:ascii="Garamond" w:hAnsi="Garamond"/>
          <w:lang w:val="en-GB"/>
        </w:rPr>
        <w:t>.</w:t>
      </w:r>
      <w:r w:rsidR="00A61D85">
        <w:rPr>
          <w:rFonts w:ascii="Garamond" w:hAnsi="Garamond"/>
          <w:lang w:val="en-GB"/>
        </w:rPr>
        <w:t xml:space="preserve"> In several cases the two levels are interconnected. </w:t>
      </w:r>
    </w:p>
    <w:p w:rsidR="008A5A4D" w:rsidRDefault="008A5A4D" w:rsidP="008C48D5">
      <w:pPr>
        <w:jc w:val="both"/>
        <w:rPr>
          <w:rFonts w:ascii="Garamond" w:hAnsi="Garamond"/>
          <w:lang w:val="en-GB"/>
        </w:rPr>
      </w:pPr>
    </w:p>
    <w:p w:rsidR="00212CA0" w:rsidRPr="006434BE" w:rsidRDefault="00F609F6" w:rsidP="00212CA0">
      <w:pPr>
        <w:jc w:val="both"/>
        <w:rPr>
          <w:rFonts w:ascii="Garamond" w:hAnsi="Garamond"/>
          <w:lang w:val="en-GB"/>
        </w:rPr>
      </w:pPr>
      <w:r w:rsidRPr="00FF0779">
        <w:rPr>
          <w:rFonts w:ascii="Garamond" w:hAnsi="Garamond"/>
          <w:lang w:val="en-GB"/>
        </w:rPr>
        <w:t>The recommendation to work towards the vision that the Baltic Sea Region will become the first eco-region in the world (Paragraph 28), received somewhat varied responses. While Denmark supports this notion, the Estonian Government is of the opinion that the BSR can hardly be considered as the first eco-region in the world.</w:t>
      </w:r>
      <w:r w:rsidR="00A91D78" w:rsidRPr="00FF0779">
        <w:rPr>
          <w:rFonts w:ascii="Garamond" w:hAnsi="Garamond"/>
          <w:lang w:val="en-GB"/>
        </w:rPr>
        <w:t xml:space="preserve"> Instead, many other eco-regions are already in place.</w:t>
      </w:r>
      <w:r w:rsidRPr="00FF0779">
        <w:rPr>
          <w:rFonts w:ascii="Garamond" w:hAnsi="Garamond"/>
          <w:lang w:val="en-GB"/>
        </w:rPr>
        <w:t xml:space="preserve"> </w:t>
      </w:r>
      <w:r w:rsidR="00FF0779" w:rsidRPr="00FF0779">
        <w:rPr>
          <w:rFonts w:ascii="Garamond" w:hAnsi="Garamond"/>
          <w:lang w:val="en-GB"/>
        </w:rPr>
        <w:t>Oth</w:t>
      </w:r>
      <w:r w:rsidR="00FF0779">
        <w:rPr>
          <w:rFonts w:ascii="Garamond" w:hAnsi="Garamond"/>
          <w:lang w:val="en-GB"/>
        </w:rPr>
        <w:t>e</w:t>
      </w:r>
      <w:r w:rsidR="00FF0779" w:rsidRPr="00FF0779">
        <w:rPr>
          <w:rFonts w:ascii="Garamond" w:hAnsi="Garamond"/>
          <w:lang w:val="en-GB"/>
        </w:rPr>
        <w:t>r governments list a number of projects related to P</w:t>
      </w:r>
      <w:r w:rsidR="00FF0779">
        <w:rPr>
          <w:rFonts w:ascii="Garamond" w:hAnsi="Garamond"/>
          <w:lang w:val="en-GB"/>
        </w:rPr>
        <w:t>a</w:t>
      </w:r>
      <w:r w:rsidR="00FF0779" w:rsidRPr="00FF0779">
        <w:rPr>
          <w:rFonts w:ascii="Garamond" w:hAnsi="Garamond"/>
          <w:lang w:val="en-GB"/>
        </w:rPr>
        <w:t xml:space="preserve">ragraphs 28 and </w:t>
      </w:r>
      <w:r w:rsidR="00803EFC">
        <w:rPr>
          <w:rFonts w:ascii="Garamond" w:hAnsi="Garamond"/>
          <w:lang w:val="en-GB"/>
        </w:rPr>
        <w:t>30</w:t>
      </w:r>
      <w:r w:rsidR="00FF0779" w:rsidRPr="00FF0779">
        <w:rPr>
          <w:rFonts w:ascii="Garamond" w:hAnsi="Garamond"/>
          <w:lang w:val="en-GB"/>
        </w:rPr>
        <w:t>. In 2017, Lithuania started the implementation of the</w:t>
      </w:r>
      <w:r w:rsidR="00FF0779">
        <w:rPr>
          <w:rFonts w:ascii="Garamond" w:hAnsi="Garamond"/>
          <w:lang w:val="en-GB"/>
        </w:rPr>
        <w:t xml:space="preserve"> project</w:t>
      </w:r>
      <w:r w:rsidR="00FF0779" w:rsidRPr="00FF0779">
        <w:rPr>
          <w:rFonts w:ascii="Garamond" w:hAnsi="Garamond"/>
          <w:lang w:val="en-GB"/>
        </w:rPr>
        <w:t xml:space="preserve"> ‘From SDGs towards sustainable Tourism in the Baltic Sea Region’</w:t>
      </w:r>
      <w:r w:rsidR="00FF0779">
        <w:rPr>
          <w:rFonts w:ascii="Garamond" w:hAnsi="Garamond"/>
          <w:lang w:val="en-GB"/>
        </w:rPr>
        <w:t>. It</w:t>
      </w:r>
      <w:r w:rsidR="00FF0779" w:rsidRPr="00FF0779">
        <w:rPr>
          <w:rFonts w:ascii="Garamond" w:hAnsi="Garamond"/>
          <w:lang w:val="en-GB"/>
        </w:rPr>
        <w:t xml:space="preserve"> will track down the status quo of sustainable tourism in the Baltic Sea Region, identify best practices, trigger processes, gaps and differences in order to develop, provide and communicate solutions.</w:t>
      </w:r>
      <w:r w:rsidR="00FF0779">
        <w:rPr>
          <w:rFonts w:ascii="Garamond" w:hAnsi="Garamond"/>
          <w:lang w:val="en-GB"/>
        </w:rPr>
        <w:t xml:space="preserve"> </w:t>
      </w:r>
      <w:proofErr w:type="spellStart"/>
      <w:r w:rsidR="00803EFC">
        <w:rPr>
          <w:rFonts w:ascii="Garamond" w:hAnsi="Garamond"/>
          <w:lang w:val="en-GB"/>
        </w:rPr>
        <w:t>Åland</w:t>
      </w:r>
      <w:proofErr w:type="spellEnd"/>
      <w:r w:rsidR="00803EFC">
        <w:rPr>
          <w:rFonts w:ascii="Garamond" w:hAnsi="Garamond"/>
          <w:lang w:val="en-GB"/>
        </w:rPr>
        <w:t xml:space="preserve"> and Estonia report that they support the international environmental management system </w:t>
      </w:r>
      <w:r w:rsidR="00803EFC" w:rsidRPr="00803EFC">
        <w:rPr>
          <w:rFonts w:ascii="Garamond" w:hAnsi="Garamond"/>
          <w:i/>
          <w:lang w:val="en-GB"/>
        </w:rPr>
        <w:t>Green Key</w:t>
      </w:r>
      <w:r w:rsidR="00803EFC">
        <w:rPr>
          <w:rFonts w:ascii="Garamond" w:hAnsi="Garamond"/>
          <w:lang w:val="en-GB"/>
        </w:rPr>
        <w:t xml:space="preserve"> as an internationally recognized label for tourism enterprises. </w:t>
      </w:r>
      <w:proofErr w:type="spellStart"/>
      <w:r w:rsidR="00803EFC">
        <w:rPr>
          <w:rFonts w:ascii="Garamond" w:hAnsi="Garamond"/>
          <w:lang w:val="en-GB"/>
        </w:rPr>
        <w:t>Åland</w:t>
      </w:r>
      <w:proofErr w:type="spellEnd"/>
      <w:r w:rsidR="00803EFC">
        <w:rPr>
          <w:rFonts w:ascii="Garamond" w:hAnsi="Garamond"/>
          <w:lang w:val="en-GB"/>
        </w:rPr>
        <w:t xml:space="preserve"> joined the system as the first destination in Finland with the aim that 20 accommodations, 12 restaurants/cafes and three events join in 2018 and possibly even more companies in the future. Estonia also introduced a local label (EHE-Genuine and interesting Estonia) as a recognised ecotourism quality label for Estonian tourism products. Therefore, </w:t>
      </w:r>
      <w:r w:rsidR="005A5A9C">
        <w:rPr>
          <w:rFonts w:ascii="Garamond" w:hAnsi="Garamond"/>
          <w:lang w:val="en-GB"/>
        </w:rPr>
        <w:t>E</w:t>
      </w:r>
      <w:r w:rsidR="00803EFC">
        <w:rPr>
          <w:rFonts w:ascii="Garamond" w:hAnsi="Garamond"/>
          <w:lang w:val="en-GB"/>
        </w:rPr>
        <w:t>st</w:t>
      </w:r>
      <w:r w:rsidR="005A5A9C">
        <w:rPr>
          <w:rFonts w:ascii="Garamond" w:hAnsi="Garamond"/>
          <w:lang w:val="en-GB"/>
        </w:rPr>
        <w:t>o</w:t>
      </w:r>
      <w:r w:rsidR="00803EFC">
        <w:rPr>
          <w:rFonts w:ascii="Garamond" w:hAnsi="Garamond"/>
          <w:lang w:val="en-GB"/>
        </w:rPr>
        <w:t>nia does not foresee a need for another new common label or standardi</w:t>
      </w:r>
      <w:r w:rsidR="0093201B">
        <w:rPr>
          <w:rFonts w:ascii="Garamond" w:hAnsi="Garamond"/>
          <w:lang w:val="en-GB"/>
        </w:rPr>
        <w:t>s</w:t>
      </w:r>
      <w:r w:rsidR="00803EFC">
        <w:rPr>
          <w:rFonts w:ascii="Garamond" w:hAnsi="Garamond"/>
          <w:lang w:val="en-GB"/>
        </w:rPr>
        <w:t>ation (Parag</w:t>
      </w:r>
      <w:r w:rsidR="005A5A9C">
        <w:rPr>
          <w:rFonts w:ascii="Garamond" w:hAnsi="Garamond"/>
          <w:lang w:val="en-GB"/>
        </w:rPr>
        <w:t>rap</w:t>
      </w:r>
      <w:r w:rsidR="00803EFC">
        <w:rPr>
          <w:rFonts w:ascii="Garamond" w:hAnsi="Garamond"/>
          <w:lang w:val="en-GB"/>
        </w:rPr>
        <w:t xml:space="preserve">h </w:t>
      </w:r>
      <w:r w:rsidR="00803EFC" w:rsidRPr="00212CA0">
        <w:rPr>
          <w:rFonts w:ascii="Garamond" w:hAnsi="Garamond"/>
          <w:lang w:val="en-GB"/>
        </w:rPr>
        <w:t>30)</w:t>
      </w:r>
      <w:r w:rsidR="005A5A9C" w:rsidRPr="00212CA0">
        <w:rPr>
          <w:rFonts w:ascii="Garamond" w:hAnsi="Garamond"/>
          <w:lang w:val="en-GB"/>
        </w:rPr>
        <w:t>.</w:t>
      </w:r>
      <w:r w:rsidR="00803EFC" w:rsidRPr="00212CA0">
        <w:rPr>
          <w:rFonts w:ascii="Garamond" w:hAnsi="Garamond"/>
          <w:lang w:val="en-GB"/>
        </w:rPr>
        <w:t xml:space="preserve"> </w:t>
      </w:r>
      <w:r w:rsidR="002B15D6" w:rsidRPr="00212CA0">
        <w:rPr>
          <w:rFonts w:ascii="Garamond" w:hAnsi="Garamond"/>
          <w:lang w:val="en-GB"/>
        </w:rPr>
        <w:t>The German Federal Government describes in detail the work</w:t>
      </w:r>
      <w:r w:rsidR="002B15D6" w:rsidRPr="006434BE">
        <w:rPr>
          <w:rFonts w:ascii="Garamond" w:hAnsi="Garamond"/>
          <w:lang w:val="en-GB"/>
        </w:rPr>
        <w:t xml:space="preserve"> of the </w:t>
      </w:r>
      <w:r w:rsidR="002B15D6" w:rsidRPr="006434BE">
        <w:rPr>
          <w:rFonts w:ascii="Garamond" w:hAnsi="Garamond"/>
          <w:i/>
          <w:lang w:val="en-GB"/>
        </w:rPr>
        <w:t xml:space="preserve">Deutsche </w:t>
      </w:r>
      <w:proofErr w:type="spellStart"/>
      <w:r w:rsidR="002B15D6" w:rsidRPr="006434BE">
        <w:rPr>
          <w:rFonts w:ascii="Garamond" w:hAnsi="Garamond"/>
          <w:i/>
          <w:lang w:val="en-GB"/>
        </w:rPr>
        <w:t>Zentrale</w:t>
      </w:r>
      <w:proofErr w:type="spellEnd"/>
      <w:r w:rsidR="002B15D6" w:rsidRPr="006434BE">
        <w:rPr>
          <w:rFonts w:ascii="Garamond" w:hAnsi="Garamond"/>
          <w:i/>
          <w:lang w:val="en-GB"/>
        </w:rPr>
        <w:t xml:space="preserve"> </w:t>
      </w:r>
      <w:proofErr w:type="spellStart"/>
      <w:r w:rsidR="002B15D6" w:rsidRPr="006434BE">
        <w:rPr>
          <w:rFonts w:ascii="Garamond" w:hAnsi="Garamond"/>
          <w:i/>
          <w:lang w:val="en-GB"/>
        </w:rPr>
        <w:t>für</w:t>
      </w:r>
      <w:proofErr w:type="spellEnd"/>
      <w:r w:rsidR="002B15D6" w:rsidRPr="006434BE">
        <w:rPr>
          <w:rFonts w:ascii="Garamond" w:hAnsi="Garamond"/>
          <w:i/>
          <w:lang w:val="en-GB"/>
        </w:rPr>
        <w:t xml:space="preserve"> </w:t>
      </w:r>
      <w:proofErr w:type="spellStart"/>
      <w:r w:rsidR="002B15D6" w:rsidRPr="006434BE">
        <w:rPr>
          <w:rFonts w:ascii="Garamond" w:hAnsi="Garamond"/>
          <w:i/>
          <w:lang w:val="en-GB"/>
        </w:rPr>
        <w:t>Tourismus</w:t>
      </w:r>
      <w:proofErr w:type="spellEnd"/>
      <w:r w:rsidR="002B15D6" w:rsidRPr="006434BE">
        <w:rPr>
          <w:rFonts w:ascii="Garamond" w:hAnsi="Garamond"/>
          <w:i/>
          <w:lang w:val="en-GB"/>
        </w:rPr>
        <w:t xml:space="preserve"> </w:t>
      </w:r>
      <w:r w:rsidR="002B15D6" w:rsidRPr="006434BE">
        <w:rPr>
          <w:rFonts w:ascii="Garamond" w:hAnsi="Garamond"/>
          <w:lang w:val="en-GB"/>
        </w:rPr>
        <w:t>related to the German initiative for sustainability. This body supports the federal states and tour</w:t>
      </w:r>
      <w:r w:rsidR="002D1BDE" w:rsidRPr="006434BE">
        <w:rPr>
          <w:rFonts w:ascii="Garamond" w:hAnsi="Garamond"/>
          <w:lang w:val="en-GB"/>
        </w:rPr>
        <w:t>i</w:t>
      </w:r>
      <w:r w:rsidR="002B15D6" w:rsidRPr="006434BE">
        <w:rPr>
          <w:rFonts w:ascii="Garamond" w:hAnsi="Garamond"/>
          <w:lang w:val="en-GB"/>
        </w:rPr>
        <w:t xml:space="preserve">stic destinations with its experiences and expertise </w:t>
      </w:r>
      <w:r w:rsidR="002D1BDE" w:rsidRPr="006434BE">
        <w:rPr>
          <w:rFonts w:ascii="Garamond" w:hAnsi="Garamond"/>
          <w:lang w:val="en-GB"/>
        </w:rPr>
        <w:t xml:space="preserve">in order </w:t>
      </w:r>
      <w:r w:rsidR="002B15D6" w:rsidRPr="006434BE">
        <w:rPr>
          <w:rFonts w:ascii="Garamond" w:hAnsi="Garamond"/>
          <w:lang w:val="en-GB"/>
        </w:rPr>
        <w:t xml:space="preserve">to develop </w:t>
      </w:r>
      <w:r w:rsidR="002D1BDE" w:rsidRPr="006434BE">
        <w:rPr>
          <w:rFonts w:ascii="Garamond" w:hAnsi="Garamond"/>
          <w:lang w:val="en-GB"/>
        </w:rPr>
        <w:t xml:space="preserve">attractive sustainable products. It also participates in the Priority </w:t>
      </w:r>
      <w:r w:rsidR="00067C2E" w:rsidRPr="006434BE">
        <w:rPr>
          <w:rFonts w:ascii="Garamond" w:hAnsi="Garamond"/>
          <w:lang w:val="en-GB"/>
        </w:rPr>
        <w:t>A</w:t>
      </w:r>
      <w:r w:rsidR="002D1BDE" w:rsidRPr="006434BE">
        <w:rPr>
          <w:rFonts w:ascii="Garamond" w:hAnsi="Garamond"/>
          <w:lang w:val="en-GB"/>
        </w:rPr>
        <w:t xml:space="preserve">rea </w:t>
      </w:r>
      <w:r w:rsidR="00067C2E" w:rsidRPr="006434BE">
        <w:rPr>
          <w:rFonts w:ascii="Garamond" w:hAnsi="Garamond"/>
          <w:lang w:val="en-GB"/>
        </w:rPr>
        <w:t>T</w:t>
      </w:r>
      <w:r w:rsidR="002D1BDE" w:rsidRPr="006434BE">
        <w:rPr>
          <w:rFonts w:ascii="Garamond" w:hAnsi="Garamond"/>
          <w:lang w:val="en-GB"/>
        </w:rPr>
        <w:t xml:space="preserve">ourism of the EUSBSR. </w:t>
      </w:r>
      <w:r w:rsidR="00BD28A8" w:rsidRPr="006434BE">
        <w:rPr>
          <w:rFonts w:ascii="Garamond" w:hAnsi="Garamond"/>
          <w:lang w:val="en-GB"/>
        </w:rPr>
        <w:t xml:space="preserve">The Swedish </w:t>
      </w:r>
      <w:r w:rsidR="00212CA0" w:rsidRPr="006434BE">
        <w:rPr>
          <w:rFonts w:ascii="Garamond" w:hAnsi="Garamond"/>
          <w:lang w:val="en-GB"/>
        </w:rPr>
        <w:t>G</w:t>
      </w:r>
      <w:r w:rsidR="00BD28A8" w:rsidRPr="006434BE">
        <w:rPr>
          <w:rFonts w:ascii="Garamond" w:hAnsi="Garamond"/>
          <w:lang w:val="en-GB"/>
        </w:rPr>
        <w:t>overnment initiated a Commission of Inquiry in October 2016 with the task to submit proposals for a coherent policy for a sustainable and thriving tourism and hospitality industry as an engine for export growth and job creation. The Commission submitted its report to the government in December 2017.</w:t>
      </w:r>
      <w:r w:rsidR="00212CA0" w:rsidRPr="006434BE">
        <w:rPr>
          <w:rFonts w:ascii="Garamond" w:hAnsi="Garamond"/>
          <w:lang w:val="en-GB"/>
        </w:rPr>
        <w:t xml:space="preserve"> It currently is under review.</w:t>
      </w:r>
      <w:r w:rsidR="00BD28A8" w:rsidRPr="006434BE">
        <w:rPr>
          <w:rFonts w:ascii="Garamond" w:hAnsi="Garamond"/>
          <w:lang w:val="en-GB"/>
        </w:rPr>
        <w:t xml:space="preserve"> The </w:t>
      </w:r>
      <w:r w:rsidR="00212CA0" w:rsidRPr="006434BE">
        <w:rPr>
          <w:rFonts w:ascii="Garamond" w:hAnsi="Garamond"/>
          <w:lang w:val="en-GB"/>
        </w:rPr>
        <w:t>government also runs</w:t>
      </w:r>
      <w:r w:rsidR="00BD28A8" w:rsidRPr="006434BE">
        <w:rPr>
          <w:rFonts w:ascii="Garamond" w:hAnsi="Garamond"/>
          <w:lang w:val="en-GB"/>
        </w:rPr>
        <w:t xml:space="preserve"> </w:t>
      </w:r>
      <w:r w:rsidR="00212CA0" w:rsidRPr="006434BE">
        <w:rPr>
          <w:rFonts w:ascii="Garamond" w:hAnsi="Garamond"/>
          <w:lang w:val="en-GB"/>
        </w:rPr>
        <w:t xml:space="preserve">a </w:t>
      </w:r>
      <w:r w:rsidR="00BD28A8" w:rsidRPr="006434BE">
        <w:rPr>
          <w:rFonts w:ascii="Garamond" w:hAnsi="Garamond"/>
          <w:lang w:val="en-GB"/>
        </w:rPr>
        <w:t>sustainable tourism program 2016</w:t>
      </w:r>
      <w:r w:rsidR="00212CA0" w:rsidRPr="006434BE">
        <w:rPr>
          <w:rFonts w:ascii="Garamond" w:hAnsi="Garamond"/>
          <w:lang w:val="en-GB"/>
        </w:rPr>
        <w:t>-</w:t>
      </w:r>
      <w:r w:rsidR="00BD28A8" w:rsidRPr="006434BE">
        <w:rPr>
          <w:rFonts w:ascii="Garamond" w:hAnsi="Garamond"/>
          <w:lang w:val="en-GB"/>
        </w:rPr>
        <w:t>2019</w:t>
      </w:r>
      <w:r w:rsidR="00212CA0" w:rsidRPr="006434BE">
        <w:rPr>
          <w:rFonts w:ascii="Garamond" w:hAnsi="Garamond"/>
          <w:lang w:val="en-GB"/>
        </w:rPr>
        <w:t xml:space="preserve"> with</w:t>
      </w:r>
      <w:r w:rsidR="00BD28A8" w:rsidRPr="006434BE">
        <w:rPr>
          <w:rFonts w:ascii="Garamond" w:hAnsi="Garamond"/>
          <w:lang w:val="en-GB"/>
        </w:rPr>
        <w:t xml:space="preserve"> </w:t>
      </w:r>
      <w:r w:rsidR="00212CA0" w:rsidRPr="006434BE">
        <w:rPr>
          <w:rFonts w:ascii="Garamond" w:hAnsi="Garamond"/>
          <w:lang w:val="en-GB"/>
        </w:rPr>
        <w:t xml:space="preserve">a </w:t>
      </w:r>
      <w:r w:rsidR="00BD28A8" w:rsidRPr="006434BE">
        <w:rPr>
          <w:rFonts w:ascii="Garamond" w:hAnsi="Garamond"/>
          <w:lang w:val="en-GB"/>
        </w:rPr>
        <w:t xml:space="preserve">budget </w:t>
      </w:r>
      <w:r w:rsidR="00212CA0" w:rsidRPr="006434BE">
        <w:rPr>
          <w:rFonts w:ascii="Garamond" w:hAnsi="Garamond"/>
          <w:lang w:val="en-GB"/>
        </w:rPr>
        <w:t>of</w:t>
      </w:r>
      <w:r w:rsidR="00BD28A8" w:rsidRPr="006434BE">
        <w:rPr>
          <w:rFonts w:ascii="Garamond" w:hAnsi="Garamond"/>
          <w:lang w:val="en-GB"/>
        </w:rPr>
        <w:t xml:space="preserve"> 40 million SEK</w:t>
      </w:r>
      <w:r w:rsidR="00212CA0" w:rsidRPr="006434BE">
        <w:rPr>
          <w:rFonts w:ascii="Garamond" w:hAnsi="Garamond"/>
          <w:lang w:val="en-GB"/>
        </w:rPr>
        <w:t>.</w:t>
      </w:r>
    </w:p>
    <w:p w:rsidR="00FF0779" w:rsidRPr="006434BE" w:rsidRDefault="00FF0779" w:rsidP="008C48D5">
      <w:pPr>
        <w:jc w:val="both"/>
        <w:rPr>
          <w:rFonts w:ascii="Garamond" w:hAnsi="Garamond"/>
          <w:lang w:val="en-GB"/>
        </w:rPr>
      </w:pPr>
    </w:p>
    <w:p w:rsidR="00FF0779" w:rsidRPr="006434BE" w:rsidRDefault="008A068F" w:rsidP="008C48D5">
      <w:pPr>
        <w:jc w:val="both"/>
        <w:rPr>
          <w:rFonts w:ascii="Garamond" w:hAnsi="Garamond"/>
          <w:lang w:val="en-GB"/>
        </w:rPr>
      </w:pPr>
      <w:r w:rsidRPr="006434BE">
        <w:rPr>
          <w:rFonts w:ascii="Garamond" w:hAnsi="Garamond"/>
          <w:lang w:val="en-GB"/>
        </w:rPr>
        <w:t xml:space="preserve">Addressing the issue of waste water facilities at harbours (Paragraph 31), the Danish and the </w:t>
      </w:r>
      <w:proofErr w:type="spellStart"/>
      <w:r w:rsidR="00FF0779" w:rsidRPr="006434BE">
        <w:rPr>
          <w:rFonts w:ascii="Garamond" w:hAnsi="Garamond"/>
          <w:lang w:val="en-GB"/>
        </w:rPr>
        <w:t>Åland</w:t>
      </w:r>
      <w:proofErr w:type="spellEnd"/>
      <w:r w:rsidR="00FF0779" w:rsidRPr="006434BE">
        <w:rPr>
          <w:rFonts w:ascii="Garamond" w:hAnsi="Garamond"/>
          <w:lang w:val="en-GB"/>
        </w:rPr>
        <w:t xml:space="preserve"> government</w:t>
      </w:r>
      <w:r w:rsidRPr="006434BE">
        <w:rPr>
          <w:rFonts w:ascii="Garamond" w:hAnsi="Garamond"/>
          <w:lang w:val="en-GB"/>
        </w:rPr>
        <w:t xml:space="preserve">s list a number of national, regional and European measures. So does </w:t>
      </w:r>
      <w:proofErr w:type="spellStart"/>
      <w:r w:rsidRPr="006434BE">
        <w:rPr>
          <w:rFonts w:ascii="Garamond" w:hAnsi="Garamond"/>
          <w:lang w:val="en-GB"/>
        </w:rPr>
        <w:t>Åland</w:t>
      </w:r>
      <w:proofErr w:type="spellEnd"/>
      <w:r w:rsidR="00FF0779" w:rsidRPr="006434BE">
        <w:rPr>
          <w:rFonts w:ascii="Garamond" w:hAnsi="Garamond"/>
          <w:lang w:val="en-GB"/>
        </w:rPr>
        <w:t xml:space="preserve"> support three different projects to improve the standard for guest harbours on the </w:t>
      </w:r>
      <w:r w:rsidR="00BB6F85">
        <w:rPr>
          <w:rFonts w:ascii="Garamond" w:hAnsi="Garamond"/>
          <w:lang w:val="en-GB"/>
        </w:rPr>
        <w:t>i</w:t>
      </w:r>
      <w:r w:rsidR="00FF0779" w:rsidRPr="006434BE">
        <w:rPr>
          <w:rFonts w:ascii="Garamond" w:hAnsi="Garamond"/>
          <w:lang w:val="en-GB"/>
        </w:rPr>
        <w:t>slands.</w:t>
      </w:r>
      <w:r w:rsidRPr="006434BE">
        <w:rPr>
          <w:rFonts w:ascii="Garamond" w:hAnsi="Garamond"/>
          <w:lang w:val="en-GB"/>
        </w:rPr>
        <w:t xml:space="preserve"> Denmark has introduced new regulations for cruise ship wastewater treatment.</w:t>
      </w:r>
      <w:r w:rsidR="00FF0779" w:rsidRPr="006434BE">
        <w:rPr>
          <w:rFonts w:ascii="Garamond" w:hAnsi="Garamond"/>
          <w:lang w:val="en-GB"/>
        </w:rPr>
        <w:t xml:space="preserve">  </w:t>
      </w:r>
    </w:p>
    <w:p w:rsidR="00FF0779" w:rsidRPr="006434BE" w:rsidRDefault="00FF0779" w:rsidP="008C48D5">
      <w:pPr>
        <w:jc w:val="both"/>
        <w:rPr>
          <w:rFonts w:ascii="Garamond" w:hAnsi="Garamond"/>
          <w:lang w:val="en-GB"/>
        </w:rPr>
      </w:pPr>
    </w:p>
    <w:p w:rsidR="00DD513A" w:rsidRPr="006434BE" w:rsidRDefault="009F4424" w:rsidP="008C48D5">
      <w:pPr>
        <w:jc w:val="both"/>
        <w:rPr>
          <w:rFonts w:ascii="Garamond" w:hAnsi="Garamond"/>
          <w:lang w:val="en-GB"/>
        </w:rPr>
      </w:pPr>
      <w:r w:rsidRPr="006434BE">
        <w:rPr>
          <w:rFonts w:ascii="Garamond" w:hAnsi="Garamond"/>
          <w:lang w:val="en-GB"/>
        </w:rPr>
        <w:t xml:space="preserve">Several governments (Poland, Free and Hanseatic City of Hamburg and Latvia) report </w:t>
      </w:r>
      <w:r w:rsidR="00370097" w:rsidRPr="006434BE">
        <w:rPr>
          <w:rFonts w:ascii="Garamond" w:hAnsi="Garamond"/>
          <w:lang w:val="en-GB"/>
        </w:rPr>
        <w:t>o</w:t>
      </w:r>
      <w:r w:rsidRPr="006434BE">
        <w:rPr>
          <w:rFonts w:ascii="Garamond" w:hAnsi="Garamond"/>
          <w:lang w:val="en-GB"/>
        </w:rPr>
        <w:t>n national or local efforts to improve and expand the cycling infrastructure (</w:t>
      </w:r>
      <w:r w:rsidR="00DD513A" w:rsidRPr="006434BE">
        <w:rPr>
          <w:rFonts w:ascii="Garamond" w:hAnsi="Garamond"/>
          <w:lang w:val="en-GB"/>
        </w:rPr>
        <w:t>Paragraph 32</w:t>
      </w:r>
      <w:r w:rsidRPr="006434BE">
        <w:rPr>
          <w:rFonts w:ascii="Garamond" w:hAnsi="Garamond"/>
          <w:lang w:val="en-GB"/>
        </w:rPr>
        <w:t xml:space="preserve">). Poland </w:t>
      </w:r>
      <w:r w:rsidR="006434BE">
        <w:rPr>
          <w:rFonts w:ascii="Garamond" w:hAnsi="Garamond"/>
          <w:lang w:val="en-GB"/>
        </w:rPr>
        <w:t>also highlights</w:t>
      </w:r>
      <w:r w:rsidR="00370097" w:rsidRPr="006434BE">
        <w:rPr>
          <w:rFonts w:ascii="Garamond" w:hAnsi="Garamond"/>
          <w:lang w:val="en-GB"/>
        </w:rPr>
        <w:t xml:space="preserve"> the project </w:t>
      </w:r>
      <w:r w:rsidR="00DD513A" w:rsidRPr="006434BE">
        <w:rPr>
          <w:rFonts w:ascii="Garamond" w:hAnsi="Garamond"/>
          <w:lang w:val="en-GB"/>
        </w:rPr>
        <w:t>“Biking South Baltic</w:t>
      </w:r>
      <w:r w:rsidR="00370097" w:rsidRPr="006434BE">
        <w:rPr>
          <w:rFonts w:ascii="Garamond" w:hAnsi="Garamond"/>
          <w:lang w:val="en-GB"/>
        </w:rPr>
        <w:t>” as an example for trans-national cooperation in this field. The project is about the</w:t>
      </w:r>
      <w:r w:rsidR="00DD513A" w:rsidRPr="006434BE">
        <w:rPr>
          <w:rFonts w:ascii="Garamond" w:hAnsi="Garamond"/>
          <w:lang w:val="en-GB"/>
        </w:rPr>
        <w:t xml:space="preserve"> promotion and development of Baltic bike routes, actively working in favour of improving </w:t>
      </w:r>
      <w:r w:rsidR="00370097" w:rsidRPr="006434BE">
        <w:rPr>
          <w:rFonts w:ascii="Garamond" w:hAnsi="Garamond"/>
          <w:lang w:val="en-GB"/>
        </w:rPr>
        <w:t>the cycling</w:t>
      </w:r>
      <w:r w:rsidR="00DD513A" w:rsidRPr="006434BE">
        <w:rPr>
          <w:rFonts w:ascii="Garamond" w:hAnsi="Garamond"/>
          <w:lang w:val="en-GB"/>
        </w:rPr>
        <w:t xml:space="preserve"> infrastructure in the region</w:t>
      </w:r>
      <w:r w:rsidR="00370097" w:rsidRPr="006434BE">
        <w:rPr>
          <w:rFonts w:ascii="Garamond" w:hAnsi="Garamond"/>
          <w:lang w:val="en-GB"/>
        </w:rPr>
        <w:t>. It</w:t>
      </w:r>
      <w:r w:rsidR="00DD513A" w:rsidRPr="006434BE">
        <w:rPr>
          <w:rFonts w:ascii="Garamond" w:hAnsi="Garamond"/>
          <w:lang w:val="en-GB"/>
        </w:rPr>
        <w:t xml:space="preserve"> is</w:t>
      </w:r>
      <w:r w:rsidR="00370097" w:rsidRPr="006434BE">
        <w:rPr>
          <w:rFonts w:ascii="Garamond" w:hAnsi="Garamond"/>
          <w:lang w:val="en-GB"/>
        </w:rPr>
        <w:t xml:space="preserve"> said to be</w:t>
      </w:r>
      <w:r w:rsidR="00DD513A" w:rsidRPr="006434BE">
        <w:rPr>
          <w:rFonts w:ascii="Garamond" w:hAnsi="Garamond"/>
          <w:lang w:val="en-GB"/>
        </w:rPr>
        <w:t xml:space="preserve"> a good example of ecological tourism and can potentially contribute to the creation of new jobs</w:t>
      </w:r>
      <w:r w:rsidR="00370097" w:rsidRPr="006434BE">
        <w:rPr>
          <w:rFonts w:ascii="Garamond" w:hAnsi="Garamond"/>
          <w:lang w:val="en-GB"/>
        </w:rPr>
        <w:t>.</w:t>
      </w:r>
    </w:p>
    <w:p w:rsidR="00DD513A" w:rsidRPr="006434BE" w:rsidRDefault="00DD513A" w:rsidP="008C48D5">
      <w:pPr>
        <w:jc w:val="both"/>
        <w:rPr>
          <w:rFonts w:ascii="Garamond" w:hAnsi="Garamond"/>
          <w:lang w:val="en-GB"/>
        </w:rPr>
      </w:pPr>
    </w:p>
    <w:p w:rsidR="008A068F" w:rsidRPr="006434BE" w:rsidRDefault="00F12649" w:rsidP="008A068F">
      <w:pPr>
        <w:jc w:val="both"/>
        <w:rPr>
          <w:rFonts w:ascii="Garamond" w:hAnsi="Garamond"/>
          <w:lang w:val="en-GB"/>
        </w:rPr>
      </w:pPr>
      <w:r w:rsidRPr="006434BE">
        <w:rPr>
          <w:rFonts w:ascii="Garamond" w:hAnsi="Garamond"/>
          <w:lang w:val="en-GB"/>
        </w:rPr>
        <w:t>The proposal of a Tourism Transport Impact Assessment Study (Paragraph 33) was only addressed by Mecklenburg-Vorpommern. However, the state government “does not see the need for such a study, considering the very limited funds for assessments and/or studies of this kind”.</w:t>
      </w:r>
      <w:r w:rsidR="00212CA0" w:rsidRPr="006434BE">
        <w:rPr>
          <w:rFonts w:ascii="Garamond" w:hAnsi="Garamond"/>
          <w:lang w:val="en-GB"/>
        </w:rPr>
        <w:t xml:space="preserve"> </w:t>
      </w:r>
      <w:r w:rsidR="008A068F" w:rsidRPr="006434BE">
        <w:rPr>
          <w:rFonts w:ascii="Garamond" w:hAnsi="Garamond"/>
          <w:lang w:val="en-GB"/>
        </w:rPr>
        <w:t xml:space="preserve">The proposal to establish an international winter school counteract the lack of skilled workers in the tourism sector and to increase skills of staff (Paragraph 34) has only been taken up by one government but rather critically. Estonia states that </w:t>
      </w:r>
      <w:r w:rsidR="002B15D6" w:rsidRPr="006434BE">
        <w:rPr>
          <w:rFonts w:ascii="Garamond" w:hAnsi="Garamond"/>
          <w:lang w:val="en-GB"/>
        </w:rPr>
        <w:t>a winter school alone would not be sufficient as a countermeasure. This problem would require both political decisions and relevant measures in the education and training system as well as continuous training. N</w:t>
      </w:r>
      <w:r w:rsidR="008A068F" w:rsidRPr="006434BE">
        <w:rPr>
          <w:rFonts w:ascii="Garamond" w:hAnsi="Garamond"/>
          <w:lang w:val="en-GB"/>
        </w:rPr>
        <w:t xml:space="preserve">o government addresses the </w:t>
      </w:r>
      <w:r w:rsidR="008A068F" w:rsidRPr="006434BE">
        <w:rPr>
          <w:rFonts w:ascii="Garamond" w:hAnsi="Garamond"/>
          <w:lang w:val="en-GB"/>
        </w:rPr>
        <w:lastRenderedPageBreak/>
        <w:t>issue of advancing circular and fair-sharing economies (Paragraph 35), although this looks like an important and interesting aspect of future modern and sustainable economies.</w:t>
      </w:r>
    </w:p>
    <w:p w:rsidR="008A068F" w:rsidRPr="006434BE" w:rsidRDefault="008A068F" w:rsidP="008C48D5">
      <w:pPr>
        <w:jc w:val="both"/>
        <w:rPr>
          <w:rFonts w:ascii="Garamond" w:hAnsi="Garamond"/>
          <w:lang w:val="en-GB"/>
        </w:rPr>
      </w:pPr>
    </w:p>
    <w:p w:rsidR="00FF0779" w:rsidRPr="006434BE" w:rsidRDefault="001F4C3C" w:rsidP="008C48D5">
      <w:pPr>
        <w:jc w:val="both"/>
        <w:rPr>
          <w:rFonts w:ascii="Garamond" w:hAnsi="Garamond"/>
          <w:lang w:val="en-GB"/>
        </w:rPr>
      </w:pPr>
      <w:r w:rsidRPr="006434BE">
        <w:rPr>
          <w:rFonts w:ascii="Garamond" w:hAnsi="Garamond"/>
          <w:lang w:val="en-GB"/>
        </w:rPr>
        <w:t xml:space="preserve">The development of the Baltic Sea Tourism Centre (Paragraph 37), co-financed by </w:t>
      </w:r>
      <w:r w:rsidR="00067C2E" w:rsidRPr="006434BE">
        <w:rPr>
          <w:rFonts w:ascii="Garamond" w:hAnsi="Garamond"/>
          <w:lang w:val="en-GB"/>
        </w:rPr>
        <w:t xml:space="preserve">the </w:t>
      </w:r>
      <w:r w:rsidRPr="006434BE">
        <w:rPr>
          <w:rFonts w:ascii="Garamond" w:hAnsi="Garamond"/>
          <w:lang w:val="en-GB"/>
        </w:rPr>
        <w:t xml:space="preserve">Interreg South Baltic Programme, with Regional Tourist Organization from Mecklenburg-Vorpommern as a “leading partner” and Pomeranian Regional Tourist Organization from </w:t>
      </w:r>
      <w:proofErr w:type="spellStart"/>
      <w:r w:rsidRPr="006434BE">
        <w:rPr>
          <w:rFonts w:ascii="Garamond" w:hAnsi="Garamond"/>
          <w:lang w:val="en-GB"/>
        </w:rPr>
        <w:t>Gdańsk</w:t>
      </w:r>
      <w:proofErr w:type="spellEnd"/>
      <w:r w:rsidRPr="006434BE">
        <w:rPr>
          <w:rFonts w:ascii="Garamond" w:hAnsi="Garamond"/>
          <w:lang w:val="en-GB"/>
        </w:rPr>
        <w:t xml:space="preserve"> as one of the main partners of the projects, finds mentioning and receives support in several governmental statements</w:t>
      </w:r>
      <w:r w:rsidR="00F12649" w:rsidRPr="006434BE">
        <w:rPr>
          <w:rFonts w:ascii="Garamond" w:hAnsi="Garamond"/>
          <w:lang w:val="en-GB"/>
        </w:rPr>
        <w:t xml:space="preserve"> (Denmark, Estonia, </w:t>
      </w:r>
      <w:r w:rsidR="002D1BDE" w:rsidRPr="006434BE">
        <w:rPr>
          <w:rFonts w:ascii="Garamond" w:hAnsi="Garamond"/>
          <w:lang w:val="en-GB"/>
        </w:rPr>
        <w:t xml:space="preserve">Federal German Government, </w:t>
      </w:r>
      <w:r w:rsidR="00F12649" w:rsidRPr="006434BE">
        <w:rPr>
          <w:rFonts w:ascii="Garamond" w:hAnsi="Garamond"/>
          <w:lang w:val="en-GB"/>
        </w:rPr>
        <w:t>Latvia and Poland)</w:t>
      </w:r>
      <w:r w:rsidR="00B128E0" w:rsidRPr="006434BE">
        <w:rPr>
          <w:rFonts w:ascii="Garamond" w:hAnsi="Garamond"/>
          <w:lang w:val="en-GB"/>
        </w:rPr>
        <w:t xml:space="preserve"> as already in 2017</w:t>
      </w:r>
      <w:r w:rsidRPr="006434BE">
        <w:rPr>
          <w:rFonts w:ascii="Garamond" w:hAnsi="Garamond"/>
          <w:lang w:val="en-GB"/>
        </w:rPr>
        <w:t xml:space="preserve">. Estonia acknowledges the progress made so far. Denmark regards the creation of a permanent platform for collecting and sharing relevant information about the development of tourism in the region as useful. </w:t>
      </w:r>
    </w:p>
    <w:p w:rsidR="00F609F6" w:rsidRPr="006434BE" w:rsidRDefault="00F609F6" w:rsidP="008C48D5">
      <w:pPr>
        <w:jc w:val="both"/>
        <w:rPr>
          <w:rFonts w:ascii="Garamond" w:hAnsi="Garamond"/>
          <w:lang w:val="en-GB"/>
        </w:rPr>
      </w:pPr>
    </w:p>
    <w:p w:rsidR="00067C2E" w:rsidRPr="004C3AC1" w:rsidRDefault="002B15D6" w:rsidP="00067C2E">
      <w:pPr>
        <w:jc w:val="both"/>
        <w:rPr>
          <w:rFonts w:ascii="Garamond" w:hAnsi="Garamond"/>
          <w:lang w:val="en-GB"/>
        </w:rPr>
      </w:pPr>
      <w:r w:rsidRPr="006434BE">
        <w:rPr>
          <w:rFonts w:ascii="Garamond" w:hAnsi="Garamond"/>
          <w:lang w:val="en-GB"/>
        </w:rPr>
        <w:t xml:space="preserve">Other transnational </w:t>
      </w:r>
      <w:r w:rsidR="002D1BDE" w:rsidRPr="006434BE">
        <w:rPr>
          <w:rFonts w:ascii="Garamond" w:hAnsi="Garamond"/>
          <w:lang w:val="en-GB"/>
        </w:rPr>
        <w:t xml:space="preserve">initiatives in the area of (sustainable) tourism </w:t>
      </w:r>
      <w:r w:rsidRPr="006434BE">
        <w:rPr>
          <w:rFonts w:ascii="Garamond" w:hAnsi="Garamond"/>
          <w:lang w:val="en-GB"/>
        </w:rPr>
        <w:t>are mentioned as well.</w:t>
      </w:r>
      <w:r w:rsidR="002D1BDE" w:rsidRPr="006434BE">
        <w:rPr>
          <w:rFonts w:ascii="Garamond" w:hAnsi="Garamond"/>
          <w:lang w:val="en-GB"/>
        </w:rPr>
        <w:t xml:space="preserve"> Estonia highlights again the successful cooperation between the three Baltic countries “Baltic Connecting” and suggests ex</w:t>
      </w:r>
      <w:r w:rsidR="00C15B1A">
        <w:rPr>
          <w:rFonts w:ascii="Garamond" w:hAnsi="Garamond"/>
          <w:lang w:val="en-GB"/>
        </w:rPr>
        <w:t>te</w:t>
      </w:r>
      <w:r w:rsidR="002D1BDE" w:rsidRPr="006434BE">
        <w:rPr>
          <w:rFonts w:ascii="Garamond" w:hAnsi="Garamond"/>
          <w:lang w:val="en-GB"/>
        </w:rPr>
        <w:t>nd</w:t>
      </w:r>
      <w:r w:rsidR="00C15B1A">
        <w:rPr>
          <w:rFonts w:ascii="Garamond" w:hAnsi="Garamond"/>
          <w:lang w:val="en-GB"/>
        </w:rPr>
        <w:t>ing</w:t>
      </w:r>
      <w:r w:rsidR="002D1BDE" w:rsidRPr="006434BE">
        <w:rPr>
          <w:rFonts w:ascii="Garamond" w:hAnsi="Garamond"/>
          <w:lang w:val="en-GB"/>
        </w:rPr>
        <w:t xml:space="preserve"> this cooperation to the entire BSR. Denmark coordinates related activities around the Baltic Sea through the Nordic and European tourism collaboration.</w:t>
      </w:r>
      <w:r w:rsidR="00834D8B" w:rsidRPr="006434BE">
        <w:rPr>
          <w:rFonts w:ascii="Garamond" w:hAnsi="Garamond"/>
          <w:lang w:val="en-GB"/>
        </w:rPr>
        <w:t xml:space="preserve"> The Swedish Government </w:t>
      </w:r>
      <w:r w:rsidR="00067C2E" w:rsidRPr="006434BE">
        <w:rPr>
          <w:rFonts w:ascii="Garamond" w:hAnsi="Garamond"/>
          <w:lang w:val="en-GB"/>
        </w:rPr>
        <w:t>refers to</w:t>
      </w:r>
      <w:r w:rsidR="00834D8B" w:rsidRPr="006434BE">
        <w:rPr>
          <w:rFonts w:ascii="Garamond" w:hAnsi="Garamond"/>
          <w:lang w:val="en-GB"/>
        </w:rPr>
        <w:t xml:space="preserve"> the strategy for international branding of the Nordic </w:t>
      </w:r>
      <w:r w:rsidR="00067C2E" w:rsidRPr="006434BE">
        <w:rPr>
          <w:rFonts w:ascii="Garamond" w:hAnsi="Garamond"/>
          <w:lang w:val="en-GB"/>
        </w:rPr>
        <w:t>r</w:t>
      </w:r>
      <w:r w:rsidR="00834D8B" w:rsidRPr="006434BE">
        <w:rPr>
          <w:rFonts w:ascii="Garamond" w:hAnsi="Garamond"/>
          <w:lang w:val="en-GB"/>
        </w:rPr>
        <w:t>egion 2015-2018 launched by the Nordic Council of Ministers</w:t>
      </w:r>
      <w:r w:rsidR="00067C2E" w:rsidRPr="006434BE">
        <w:rPr>
          <w:rFonts w:ascii="Garamond" w:hAnsi="Garamond"/>
          <w:lang w:val="en-GB"/>
        </w:rPr>
        <w:t>.</w:t>
      </w:r>
      <w:r w:rsidR="00834D8B" w:rsidRPr="006434BE">
        <w:rPr>
          <w:rFonts w:ascii="Garamond" w:hAnsi="Garamond"/>
          <w:lang w:val="en-GB"/>
        </w:rPr>
        <w:t xml:space="preserve"> Th</w:t>
      </w:r>
      <w:r w:rsidR="00067C2E" w:rsidRPr="006434BE">
        <w:rPr>
          <w:rFonts w:ascii="Garamond" w:hAnsi="Garamond"/>
          <w:lang w:val="en-GB"/>
        </w:rPr>
        <w:t>e strategy</w:t>
      </w:r>
      <w:r w:rsidR="00834D8B" w:rsidRPr="006434BE">
        <w:rPr>
          <w:rFonts w:ascii="Garamond" w:hAnsi="Garamond"/>
          <w:lang w:val="en-GB"/>
        </w:rPr>
        <w:t xml:space="preserve"> </w:t>
      </w:r>
      <w:r w:rsidR="00067C2E" w:rsidRPr="006434BE">
        <w:rPr>
          <w:rFonts w:ascii="Garamond" w:hAnsi="Garamond"/>
          <w:lang w:val="en-GB"/>
        </w:rPr>
        <w:t>is hoped to</w:t>
      </w:r>
      <w:r w:rsidR="00834D8B" w:rsidRPr="006434BE">
        <w:rPr>
          <w:rFonts w:ascii="Garamond" w:hAnsi="Garamond"/>
          <w:lang w:val="en-GB"/>
        </w:rPr>
        <w:t xml:space="preserve"> improve </w:t>
      </w:r>
      <w:r w:rsidR="00067C2E" w:rsidRPr="006434BE">
        <w:rPr>
          <w:rFonts w:ascii="Garamond" w:hAnsi="Garamond"/>
          <w:lang w:val="en-GB"/>
        </w:rPr>
        <w:t xml:space="preserve">the </w:t>
      </w:r>
      <w:r w:rsidR="00834D8B" w:rsidRPr="006434BE">
        <w:rPr>
          <w:rFonts w:ascii="Garamond" w:hAnsi="Garamond"/>
          <w:lang w:val="en-GB"/>
        </w:rPr>
        <w:t>visibility of the Nordic</w:t>
      </w:r>
      <w:r w:rsidR="00067C2E" w:rsidRPr="006434BE">
        <w:rPr>
          <w:rFonts w:ascii="Garamond" w:hAnsi="Garamond"/>
          <w:lang w:val="en-GB"/>
        </w:rPr>
        <w:t xml:space="preserve"> region</w:t>
      </w:r>
      <w:r w:rsidR="00834D8B" w:rsidRPr="006434BE">
        <w:rPr>
          <w:rFonts w:ascii="Garamond" w:hAnsi="Garamond"/>
          <w:lang w:val="en-GB"/>
        </w:rPr>
        <w:t xml:space="preserve"> and </w:t>
      </w:r>
      <w:r w:rsidR="00BD28A8" w:rsidRPr="006434BE">
        <w:rPr>
          <w:rFonts w:ascii="Garamond" w:hAnsi="Garamond"/>
          <w:lang w:val="en-GB"/>
        </w:rPr>
        <w:t>also</w:t>
      </w:r>
      <w:r w:rsidR="006434BE" w:rsidRPr="006434BE">
        <w:rPr>
          <w:rFonts w:ascii="Garamond" w:hAnsi="Garamond"/>
          <w:lang w:val="en-GB"/>
        </w:rPr>
        <w:t xml:space="preserve"> to</w:t>
      </w:r>
      <w:r w:rsidR="00BD28A8" w:rsidRPr="006434BE">
        <w:rPr>
          <w:rFonts w:ascii="Garamond" w:hAnsi="Garamond"/>
          <w:lang w:val="en-GB"/>
        </w:rPr>
        <w:t xml:space="preserve"> contribute</w:t>
      </w:r>
      <w:r w:rsidR="00834D8B" w:rsidRPr="006434BE">
        <w:rPr>
          <w:rFonts w:ascii="Garamond" w:hAnsi="Garamond"/>
          <w:lang w:val="en-GB"/>
        </w:rPr>
        <w:t xml:space="preserve"> </w:t>
      </w:r>
      <w:r w:rsidR="00BD28A8" w:rsidRPr="006434BE">
        <w:rPr>
          <w:rFonts w:ascii="Garamond" w:hAnsi="Garamond"/>
          <w:lang w:val="en-GB"/>
        </w:rPr>
        <w:t>to</w:t>
      </w:r>
      <w:r w:rsidR="00834D8B" w:rsidRPr="006434BE">
        <w:rPr>
          <w:rFonts w:ascii="Garamond" w:hAnsi="Garamond"/>
          <w:lang w:val="en-GB"/>
        </w:rPr>
        <w:t xml:space="preserve"> marketing the Baltic Sea Area.</w:t>
      </w:r>
      <w:r w:rsidR="00067C2E" w:rsidRPr="006434BE">
        <w:rPr>
          <w:rFonts w:ascii="Garamond" w:hAnsi="Garamond"/>
          <w:lang w:val="en-GB"/>
        </w:rPr>
        <w:t xml:space="preserve"> </w:t>
      </w:r>
      <w:r w:rsidR="00067C2E" w:rsidRPr="004C3AC1">
        <w:rPr>
          <w:rFonts w:ascii="Garamond" w:hAnsi="Garamond"/>
          <w:lang w:val="en-GB"/>
        </w:rPr>
        <w:t>In May 2017 the Nordic Ministers for Enterprise decided to elaborate a plan for Nordic cross-border Tourism cooperation with digitalisation as a priority.</w:t>
      </w:r>
      <w:r w:rsidR="00AE5F9F" w:rsidRPr="004C3AC1">
        <w:rPr>
          <w:rFonts w:ascii="Garamond" w:hAnsi="Garamond"/>
          <w:lang w:val="en-GB"/>
        </w:rPr>
        <w:t xml:space="preserve"> Schleswi</w:t>
      </w:r>
      <w:r w:rsidR="00B649CC" w:rsidRPr="004C3AC1">
        <w:rPr>
          <w:rFonts w:ascii="Garamond" w:hAnsi="Garamond"/>
          <w:lang w:val="en-GB"/>
        </w:rPr>
        <w:t>g</w:t>
      </w:r>
      <w:r w:rsidR="00AE5F9F" w:rsidRPr="004C3AC1">
        <w:rPr>
          <w:rFonts w:ascii="Garamond" w:hAnsi="Garamond"/>
          <w:lang w:val="en-GB"/>
        </w:rPr>
        <w:t>-Holstein emphasi</w:t>
      </w:r>
      <w:r w:rsidR="004C3AC1" w:rsidRPr="004C3AC1">
        <w:rPr>
          <w:rFonts w:ascii="Garamond" w:hAnsi="Garamond"/>
          <w:lang w:val="en-GB"/>
        </w:rPr>
        <w:t>z</w:t>
      </w:r>
      <w:r w:rsidR="00AE5F9F" w:rsidRPr="004C3AC1">
        <w:rPr>
          <w:rFonts w:ascii="Garamond" w:hAnsi="Garamond"/>
          <w:lang w:val="en-GB"/>
        </w:rPr>
        <w:t xml:space="preserve">es </w:t>
      </w:r>
      <w:r w:rsidR="004C3AC1" w:rsidRPr="004C3AC1">
        <w:rPr>
          <w:rFonts w:ascii="Garamond" w:hAnsi="Garamond"/>
          <w:lang w:val="en-GB"/>
        </w:rPr>
        <w:t>the</w:t>
      </w:r>
      <w:r w:rsidR="00AE5F9F" w:rsidRPr="004C3AC1">
        <w:rPr>
          <w:rFonts w:ascii="Garamond" w:hAnsi="Garamond"/>
          <w:lang w:val="en-GB"/>
        </w:rPr>
        <w:t xml:space="preserve"> German-Danish Interreg project</w:t>
      </w:r>
      <w:r w:rsidR="004C3AC1" w:rsidRPr="004C3AC1">
        <w:rPr>
          <w:rFonts w:ascii="Garamond" w:hAnsi="Garamond"/>
          <w:lang w:val="en-GB"/>
        </w:rPr>
        <w:t xml:space="preserve"> Undine II, running until the end of 2019</w:t>
      </w:r>
      <w:r w:rsidR="00AE5F9F" w:rsidRPr="004C3AC1">
        <w:rPr>
          <w:rFonts w:ascii="Garamond" w:hAnsi="Garamond"/>
          <w:lang w:val="en-GB"/>
        </w:rPr>
        <w:t>. It aims at</w:t>
      </w:r>
      <w:r w:rsidR="004C3AC1" w:rsidRPr="004C3AC1">
        <w:rPr>
          <w:rFonts w:ascii="Garamond" w:hAnsi="Garamond"/>
          <w:lang w:val="en-GB"/>
        </w:rPr>
        <w:t xml:space="preserve"> improving the understanding of the Baltic Sea by means of</w:t>
      </w:r>
      <w:r w:rsidR="00AE5F9F" w:rsidRPr="004C3AC1">
        <w:rPr>
          <w:rFonts w:ascii="Garamond" w:hAnsi="Garamond"/>
          <w:lang w:val="en-GB"/>
        </w:rPr>
        <w:t xml:space="preserve"> </w:t>
      </w:r>
      <w:r w:rsidR="004C3AC1" w:rsidRPr="004C3AC1">
        <w:rPr>
          <w:rFonts w:ascii="Garamond" w:hAnsi="Garamond"/>
          <w:lang w:val="en-GB"/>
        </w:rPr>
        <w:t>educational material and</w:t>
      </w:r>
      <w:r w:rsidR="00AE5F9F" w:rsidRPr="004C3AC1">
        <w:rPr>
          <w:rFonts w:ascii="Garamond" w:hAnsi="Garamond"/>
          <w:lang w:val="en-GB"/>
        </w:rPr>
        <w:t xml:space="preserve"> </w:t>
      </w:r>
      <w:r w:rsidR="004C3AC1" w:rsidRPr="004C3AC1">
        <w:rPr>
          <w:rFonts w:ascii="Garamond" w:hAnsi="Garamond"/>
          <w:lang w:val="en-GB"/>
        </w:rPr>
        <w:t>events</w:t>
      </w:r>
      <w:r w:rsidR="00AE5F9F" w:rsidRPr="004C3AC1">
        <w:rPr>
          <w:rFonts w:ascii="Garamond" w:hAnsi="Garamond"/>
          <w:lang w:val="en-GB"/>
        </w:rPr>
        <w:t>.</w:t>
      </w:r>
    </w:p>
    <w:p w:rsidR="00C15B1A" w:rsidRPr="004C3AC1" w:rsidRDefault="00C15B1A" w:rsidP="00067C2E">
      <w:pPr>
        <w:jc w:val="both"/>
        <w:rPr>
          <w:rFonts w:ascii="Garamond" w:hAnsi="Garamond"/>
          <w:lang w:val="en-US"/>
        </w:rPr>
      </w:pPr>
    </w:p>
    <w:p w:rsidR="0070462D" w:rsidRPr="006434BE" w:rsidRDefault="008A5A4D" w:rsidP="008C48D5">
      <w:pPr>
        <w:jc w:val="both"/>
        <w:rPr>
          <w:rFonts w:ascii="Garamond" w:hAnsi="Garamond"/>
          <w:lang w:val="en-GB"/>
        </w:rPr>
      </w:pPr>
      <w:r w:rsidRPr="006434BE">
        <w:rPr>
          <w:rFonts w:ascii="Garamond" w:hAnsi="Garamond"/>
          <w:lang w:val="en-GB"/>
        </w:rPr>
        <w:t xml:space="preserve">Thus, some </w:t>
      </w:r>
      <w:r w:rsidR="001F4C3C" w:rsidRPr="006434BE">
        <w:rPr>
          <w:rFonts w:ascii="Garamond" w:hAnsi="Garamond"/>
          <w:lang w:val="en-GB"/>
        </w:rPr>
        <w:t xml:space="preserve">regional </w:t>
      </w:r>
      <w:r w:rsidRPr="006434BE">
        <w:rPr>
          <w:rFonts w:ascii="Garamond" w:hAnsi="Garamond"/>
          <w:lang w:val="en-GB"/>
        </w:rPr>
        <w:t xml:space="preserve">cooperation </w:t>
      </w:r>
      <w:r w:rsidR="006434BE" w:rsidRPr="006434BE">
        <w:rPr>
          <w:rFonts w:ascii="Garamond" w:hAnsi="Garamond"/>
          <w:lang w:val="en-GB"/>
        </w:rPr>
        <w:t>aiming at</w:t>
      </w:r>
      <w:r w:rsidR="00212CA0" w:rsidRPr="006434BE">
        <w:rPr>
          <w:rFonts w:ascii="Garamond" w:hAnsi="Garamond"/>
          <w:lang w:val="en-GB"/>
        </w:rPr>
        <w:t xml:space="preserve"> enhancing</w:t>
      </w:r>
      <w:r w:rsidR="007A261B" w:rsidRPr="006434BE">
        <w:rPr>
          <w:rFonts w:ascii="Garamond" w:hAnsi="Garamond"/>
          <w:lang w:val="en-GB"/>
        </w:rPr>
        <w:t xml:space="preserve"> sustainable tourism</w:t>
      </w:r>
      <w:r w:rsidR="00212CA0" w:rsidRPr="006434BE">
        <w:rPr>
          <w:rFonts w:ascii="Garamond" w:hAnsi="Garamond"/>
          <w:lang w:val="en-GB"/>
        </w:rPr>
        <w:t xml:space="preserve"> is already in place</w:t>
      </w:r>
      <w:r w:rsidRPr="006434BE">
        <w:rPr>
          <w:rFonts w:ascii="Garamond" w:hAnsi="Garamond"/>
          <w:lang w:val="en-GB"/>
        </w:rPr>
        <w:t>.</w:t>
      </w:r>
      <w:r w:rsidR="00212CA0" w:rsidRPr="006434BE">
        <w:rPr>
          <w:rFonts w:ascii="Garamond" w:hAnsi="Garamond"/>
          <w:lang w:val="en-GB"/>
        </w:rPr>
        <w:t xml:space="preserve"> </w:t>
      </w:r>
      <w:r w:rsidRPr="006434BE">
        <w:rPr>
          <w:rFonts w:ascii="Garamond" w:hAnsi="Garamond"/>
          <w:lang w:val="en-GB"/>
        </w:rPr>
        <w:t>It, however, remains unclear</w:t>
      </w:r>
      <w:r w:rsidR="00D34DAE" w:rsidRPr="006434BE">
        <w:rPr>
          <w:rFonts w:ascii="Garamond" w:hAnsi="Garamond"/>
          <w:lang w:val="en-GB"/>
        </w:rPr>
        <w:t xml:space="preserve"> </w:t>
      </w:r>
      <w:r w:rsidRPr="006434BE">
        <w:rPr>
          <w:rFonts w:ascii="Garamond" w:hAnsi="Garamond"/>
          <w:lang w:val="en-GB"/>
        </w:rPr>
        <w:t>w</w:t>
      </w:r>
      <w:r w:rsidR="006434BE" w:rsidRPr="006434BE">
        <w:rPr>
          <w:rFonts w:ascii="Garamond" w:hAnsi="Garamond"/>
          <w:lang w:val="en-GB"/>
        </w:rPr>
        <w:t>hat</w:t>
      </w:r>
      <w:r w:rsidRPr="006434BE">
        <w:rPr>
          <w:rFonts w:ascii="Garamond" w:hAnsi="Garamond"/>
          <w:lang w:val="en-GB"/>
        </w:rPr>
        <w:t xml:space="preserve"> concrete results this cooperation has delivered so far.</w:t>
      </w:r>
      <w:r w:rsidR="00212CA0" w:rsidRPr="006434BE">
        <w:rPr>
          <w:rFonts w:ascii="Garamond" w:hAnsi="Garamond"/>
          <w:lang w:val="en-GB"/>
        </w:rPr>
        <w:t xml:space="preserve"> </w:t>
      </w:r>
      <w:r w:rsidR="006434BE" w:rsidRPr="006434BE">
        <w:rPr>
          <w:rFonts w:ascii="Garamond" w:hAnsi="Garamond"/>
          <w:lang w:val="en-GB"/>
        </w:rPr>
        <w:t>In addition,</w:t>
      </w:r>
      <w:r w:rsidR="00212CA0" w:rsidRPr="006434BE">
        <w:rPr>
          <w:rFonts w:ascii="Garamond" w:hAnsi="Garamond"/>
          <w:lang w:val="en-GB"/>
        </w:rPr>
        <w:t xml:space="preserve"> </w:t>
      </w:r>
      <w:r w:rsidR="006434BE" w:rsidRPr="006434BE">
        <w:rPr>
          <w:rFonts w:ascii="Garamond" w:hAnsi="Garamond"/>
          <w:lang w:val="en-GB"/>
        </w:rPr>
        <w:t xml:space="preserve">also here </w:t>
      </w:r>
      <w:r w:rsidR="00212CA0" w:rsidRPr="006434BE">
        <w:rPr>
          <w:rFonts w:ascii="Garamond" w:hAnsi="Garamond"/>
          <w:lang w:val="en-GB"/>
        </w:rPr>
        <w:t>governments</w:t>
      </w:r>
      <w:r w:rsidR="006434BE" w:rsidRPr="006434BE">
        <w:rPr>
          <w:rFonts w:ascii="Garamond" w:hAnsi="Garamond"/>
          <w:lang w:val="en-GB"/>
        </w:rPr>
        <w:t xml:space="preserve"> reveal little information</w:t>
      </w:r>
      <w:r w:rsidR="00212CA0" w:rsidRPr="006434BE">
        <w:rPr>
          <w:rFonts w:ascii="Garamond" w:hAnsi="Garamond"/>
          <w:lang w:val="en-GB"/>
        </w:rPr>
        <w:t xml:space="preserve"> </w:t>
      </w:r>
      <w:r w:rsidR="006434BE" w:rsidRPr="006434BE">
        <w:rPr>
          <w:rFonts w:ascii="Garamond" w:hAnsi="Garamond"/>
          <w:lang w:val="en-GB"/>
        </w:rPr>
        <w:t xml:space="preserve">on how they </w:t>
      </w:r>
      <w:r w:rsidR="00212CA0" w:rsidRPr="006434BE">
        <w:rPr>
          <w:rFonts w:ascii="Garamond" w:hAnsi="Garamond"/>
          <w:lang w:val="en-GB"/>
        </w:rPr>
        <w:t>want to support and strengthen these transnational cooperation efforts.</w:t>
      </w:r>
    </w:p>
    <w:p w:rsidR="00125FA5" w:rsidRDefault="00125FA5" w:rsidP="008C48D5">
      <w:pPr>
        <w:jc w:val="both"/>
        <w:rPr>
          <w:rFonts w:ascii="Garamond" w:hAnsi="Garamond"/>
          <w:lang w:val="en-GB"/>
        </w:rPr>
      </w:pPr>
    </w:p>
    <w:p w:rsidR="00D31FE0" w:rsidRDefault="00D31FE0" w:rsidP="008C48D5">
      <w:pPr>
        <w:jc w:val="both"/>
        <w:rPr>
          <w:rFonts w:ascii="Garamond" w:hAnsi="Garamond"/>
          <w:lang w:val="en-GB"/>
        </w:rPr>
      </w:pPr>
    </w:p>
    <w:p w:rsidR="000D22ED" w:rsidRDefault="000D22ED" w:rsidP="008C48D5">
      <w:pPr>
        <w:jc w:val="both"/>
        <w:rPr>
          <w:rFonts w:ascii="Garamond" w:hAnsi="Garamond"/>
          <w:b/>
          <w:sz w:val="28"/>
          <w:szCs w:val="28"/>
          <w:lang w:val="en-GB"/>
        </w:rPr>
      </w:pPr>
      <w:r w:rsidRPr="000D22ED">
        <w:rPr>
          <w:rFonts w:ascii="Garamond" w:hAnsi="Garamond"/>
          <w:b/>
          <w:sz w:val="28"/>
          <w:szCs w:val="28"/>
          <w:lang w:val="en-GB"/>
        </w:rPr>
        <w:t>5. Synopsis and suggestions</w:t>
      </w:r>
    </w:p>
    <w:p w:rsidR="009D7F9D" w:rsidRPr="001B4306" w:rsidRDefault="009D7F9D" w:rsidP="008C48D5">
      <w:pPr>
        <w:jc w:val="both"/>
        <w:rPr>
          <w:rFonts w:ascii="Garamond" w:hAnsi="Garamond"/>
          <w:b/>
          <w:sz w:val="22"/>
          <w:szCs w:val="22"/>
          <w:lang w:val="en-GB"/>
        </w:rPr>
      </w:pPr>
    </w:p>
    <w:p w:rsidR="00D31FE0" w:rsidRPr="00F02039" w:rsidRDefault="00D31FE0" w:rsidP="008C48D5">
      <w:pPr>
        <w:jc w:val="both"/>
        <w:rPr>
          <w:rFonts w:ascii="Garamond" w:hAnsi="Garamond"/>
          <w:lang w:val="en-GB"/>
        </w:rPr>
      </w:pPr>
      <w:r w:rsidRPr="00F02039">
        <w:rPr>
          <w:rFonts w:ascii="Garamond" w:hAnsi="Garamond"/>
          <w:lang w:val="en-GB"/>
        </w:rPr>
        <w:t>In general, we find that the submitted statements underline</w:t>
      </w:r>
      <w:r w:rsidR="008C48D5">
        <w:rPr>
          <w:rFonts w:ascii="Garamond" w:hAnsi="Garamond"/>
          <w:lang w:val="en-GB"/>
        </w:rPr>
        <w:t xml:space="preserve"> the notion</w:t>
      </w:r>
      <w:r w:rsidRPr="00F02039">
        <w:rPr>
          <w:rFonts w:ascii="Garamond" w:hAnsi="Garamond"/>
          <w:lang w:val="en-GB"/>
        </w:rPr>
        <w:t xml:space="preserve"> that the responding governments have heeded the 26</w:t>
      </w:r>
      <w:r w:rsidRPr="00F02039">
        <w:rPr>
          <w:rFonts w:ascii="Garamond" w:hAnsi="Garamond"/>
          <w:vertAlign w:val="superscript"/>
          <w:lang w:val="en-GB"/>
        </w:rPr>
        <w:t>th</w:t>
      </w:r>
      <w:r w:rsidRPr="00F02039">
        <w:rPr>
          <w:rFonts w:ascii="Garamond" w:hAnsi="Garamond"/>
          <w:lang w:val="en-GB"/>
        </w:rPr>
        <w:t xml:space="preserve"> BSPC Resolution. They demonstrate a serious effort to offer a good account of how region</w:t>
      </w:r>
      <w:r w:rsidR="001D1BFD">
        <w:rPr>
          <w:rFonts w:ascii="Garamond" w:hAnsi="Garamond"/>
          <w:lang w:val="en-GB"/>
        </w:rPr>
        <w:t>al stakeholders</w:t>
      </w:r>
      <w:r w:rsidRPr="00F02039">
        <w:rPr>
          <w:rFonts w:ascii="Garamond" w:hAnsi="Garamond"/>
          <w:lang w:val="en-GB"/>
        </w:rPr>
        <w:t xml:space="preserve"> have striven to carry out the Resolutions’ </w:t>
      </w:r>
      <w:r w:rsidR="0054435B">
        <w:rPr>
          <w:rFonts w:ascii="Garamond" w:hAnsi="Garamond"/>
          <w:lang w:val="en-GB"/>
        </w:rPr>
        <w:t>calls</w:t>
      </w:r>
      <w:r w:rsidRPr="00F02039">
        <w:rPr>
          <w:rFonts w:ascii="Garamond" w:hAnsi="Garamond"/>
          <w:lang w:val="en-GB"/>
        </w:rPr>
        <w:t xml:space="preserve"> and suggestions.</w:t>
      </w:r>
      <w:r w:rsidR="00486E34">
        <w:rPr>
          <w:rFonts w:ascii="Garamond" w:hAnsi="Garamond"/>
          <w:lang w:val="en-GB"/>
        </w:rPr>
        <w:t xml:space="preserve"> </w:t>
      </w:r>
      <w:r w:rsidR="00AE5F9F">
        <w:rPr>
          <w:rFonts w:ascii="Garamond" w:hAnsi="Garamond"/>
          <w:lang w:val="en-GB"/>
        </w:rPr>
        <w:t>The response rate has been good and can hardly be topped. T</w:t>
      </w:r>
      <w:r w:rsidR="00486E34">
        <w:rPr>
          <w:rFonts w:ascii="Garamond" w:hAnsi="Garamond"/>
          <w:lang w:val="en-GB"/>
        </w:rPr>
        <w:t>h</w:t>
      </w:r>
      <w:r w:rsidR="00AE5F9F">
        <w:rPr>
          <w:rFonts w:ascii="Garamond" w:hAnsi="Garamond"/>
          <w:lang w:val="en-GB"/>
        </w:rPr>
        <w:t>at the</w:t>
      </w:r>
      <w:r w:rsidR="00486E34">
        <w:rPr>
          <w:rFonts w:ascii="Garamond" w:hAnsi="Garamond"/>
          <w:lang w:val="en-GB"/>
        </w:rPr>
        <w:t xml:space="preserve"> central governments of all Baltic Sea littoral countries plus Norway and several </w:t>
      </w:r>
      <w:r w:rsidR="00AE5F9F">
        <w:rPr>
          <w:rFonts w:ascii="Garamond" w:hAnsi="Garamond"/>
          <w:lang w:val="en-GB"/>
        </w:rPr>
        <w:t xml:space="preserve">relevant </w:t>
      </w:r>
      <w:r w:rsidR="00486E34">
        <w:rPr>
          <w:rFonts w:ascii="Garamond" w:hAnsi="Garamond"/>
          <w:lang w:val="en-GB"/>
        </w:rPr>
        <w:t>sub-state units have responded can overall be perceived as a good and encouraging sign.</w:t>
      </w:r>
      <w:r w:rsidR="00AE5F9F">
        <w:rPr>
          <w:rFonts w:ascii="Garamond" w:hAnsi="Garamond"/>
          <w:lang w:val="en-GB"/>
        </w:rPr>
        <w:t xml:space="preserve"> </w:t>
      </w:r>
      <w:r w:rsidRPr="00F02039">
        <w:rPr>
          <w:rFonts w:ascii="Garamond" w:hAnsi="Garamond"/>
          <w:lang w:val="en-GB"/>
        </w:rPr>
        <w:t>Having said that, we believe that there is at times a big potential for improvement in rendering the statements more accountable and relevant. In what follows we would like to give some recommendations to</w:t>
      </w:r>
      <w:r w:rsidR="001D1BFD">
        <w:rPr>
          <w:rFonts w:ascii="Garamond" w:hAnsi="Garamond"/>
          <w:lang w:val="en-GB"/>
        </w:rPr>
        <w:t>ward</w:t>
      </w:r>
      <w:r w:rsidRPr="00F02039">
        <w:rPr>
          <w:rFonts w:ascii="Garamond" w:hAnsi="Garamond"/>
          <w:lang w:val="en-GB"/>
        </w:rPr>
        <w:t xml:space="preserve"> this end.</w:t>
      </w:r>
    </w:p>
    <w:p w:rsidR="00D31FE0" w:rsidRPr="00F02039" w:rsidRDefault="00D31FE0" w:rsidP="008C48D5">
      <w:pPr>
        <w:jc w:val="both"/>
        <w:rPr>
          <w:rFonts w:ascii="Garamond" w:hAnsi="Garamond"/>
          <w:lang w:val="en-GB"/>
        </w:rPr>
      </w:pPr>
    </w:p>
    <w:p w:rsidR="00D31FE0" w:rsidRPr="00F02039" w:rsidRDefault="00D31FE0" w:rsidP="008C48D5">
      <w:pPr>
        <w:jc w:val="both"/>
        <w:rPr>
          <w:rFonts w:ascii="Garamond" w:hAnsi="Garamond"/>
          <w:lang w:val="en-GB"/>
        </w:rPr>
      </w:pPr>
      <w:r w:rsidRPr="00F02039">
        <w:rPr>
          <w:rFonts w:ascii="Garamond" w:hAnsi="Garamond"/>
          <w:lang w:val="en-GB"/>
        </w:rPr>
        <w:t xml:space="preserve">First of all, regarding the formal parameters, the submitted statements display a great variety both in terms of length as well as elaborateness. On the one hand, this variability is understandable, sometimes even suitable, to offer a picture of the rich cooperation activities in the Baltic Sea Region. We do hold, however, that the </w:t>
      </w:r>
      <w:r w:rsidRPr="00F02039">
        <w:rPr>
          <w:rFonts w:ascii="Garamond" w:hAnsi="Garamond"/>
          <w:b/>
          <w:lang w:val="en-GB"/>
        </w:rPr>
        <w:t>standard of comprehensiveness</w:t>
      </w:r>
      <w:r w:rsidR="00F12649">
        <w:rPr>
          <w:rFonts w:ascii="Garamond" w:hAnsi="Garamond"/>
          <w:b/>
          <w:lang w:val="en-GB"/>
        </w:rPr>
        <w:t xml:space="preserve"> and quality</w:t>
      </w:r>
      <w:r w:rsidRPr="00F02039">
        <w:rPr>
          <w:rFonts w:ascii="Garamond" w:hAnsi="Garamond"/>
          <w:b/>
          <w:lang w:val="en-GB"/>
        </w:rPr>
        <w:t xml:space="preserve"> </w:t>
      </w:r>
      <w:r w:rsidR="001D1BFD">
        <w:rPr>
          <w:rFonts w:ascii="Garamond" w:hAnsi="Garamond"/>
          <w:b/>
          <w:lang w:val="en-GB"/>
        </w:rPr>
        <w:t>c</w:t>
      </w:r>
      <w:r w:rsidRPr="00F02039">
        <w:rPr>
          <w:rFonts w:ascii="Garamond" w:hAnsi="Garamond"/>
          <w:b/>
          <w:lang w:val="en-GB"/>
        </w:rPr>
        <w:t>ould be increased</w:t>
      </w:r>
      <w:r w:rsidRPr="00F02039">
        <w:rPr>
          <w:rFonts w:ascii="Garamond" w:hAnsi="Garamond"/>
          <w:lang w:val="en-GB"/>
        </w:rPr>
        <w:t xml:space="preserve"> in the future. While no exhaustive listing is necessary or desirable, we still believe that they should address as many paragraphs of the Resolution as possible</w:t>
      </w:r>
      <w:r w:rsidR="001D1BFD">
        <w:rPr>
          <w:rFonts w:ascii="Garamond" w:hAnsi="Garamond"/>
          <w:lang w:val="en-GB"/>
        </w:rPr>
        <w:t xml:space="preserve"> and as concretely and comprehensively as possible</w:t>
      </w:r>
      <w:r w:rsidRPr="00F02039">
        <w:rPr>
          <w:rFonts w:ascii="Garamond" w:hAnsi="Garamond"/>
          <w:lang w:val="en-GB"/>
        </w:rPr>
        <w:t xml:space="preserve">. By doing so, they would benefit from highlighting the inherent interconnections between many aspects. In this regard, and as last year, the statements which contain varied responses from the responsible ministries of the respective government are </w:t>
      </w:r>
      <w:r w:rsidRPr="00F02039">
        <w:rPr>
          <w:rFonts w:ascii="Garamond" w:hAnsi="Garamond"/>
          <w:lang w:val="en-GB"/>
        </w:rPr>
        <w:lastRenderedPageBreak/>
        <w:t>especially informative. Only if the statements are comprehensive and interdisciplinary, can the governments be held accountable regarding the BSPC Resolution.</w:t>
      </w:r>
    </w:p>
    <w:p w:rsidR="00D31FE0" w:rsidRPr="00F02039" w:rsidRDefault="00D31FE0" w:rsidP="008C48D5">
      <w:pPr>
        <w:jc w:val="both"/>
        <w:rPr>
          <w:rFonts w:ascii="Garamond" w:hAnsi="Garamond"/>
          <w:lang w:val="en-GB"/>
        </w:rPr>
      </w:pPr>
    </w:p>
    <w:p w:rsidR="00AE4B6E" w:rsidRDefault="00D31FE0" w:rsidP="008C48D5">
      <w:pPr>
        <w:jc w:val="both"/>
        <w:rPr>
          <w:rFonts w:ascii="Garamond" w:hAnsi="Garamond"/>
          <w:lang w:val="en-GB"/>
        </w:rPr>
      </w:pPr>
      <w:r w:rsidRPr="00F02039">
        <w:rPr>
          <w:rFonts w:ascii="Garamond" w:hAnsi="Garamond"/>
          <w:lang w:val="en-GB"/>
        </w:rPr>
        <w:t xml:space="preserve">Next, the governments operate with a </w:t>
      </w:r>
      <w:r w:rsidRPr="00045F75">
        <w:rPr>
          <w:rFonts w:ascii="Garamond" w:hAnsi="Garamond"/>
          <w:b/>
          <w:lang w:val="en-GB"/>
        </w:rPr>
        <w:t>too narrow focus when reporting on their activities</w:t>
      </w:r>
      <w:r w:rsidRPr="00F02039">
        <w:rPr>
          <w:rFonts w:ascii="Garamond" w:hAnsi="Garamond"/>
          <w:lang w:val="en-GB"/>
        </w:rPr>
        <w:t xml:space="preserve">. We warmly welcome that some of them seem to have followed last year’s suggestion to concentrate more on transnational initiatives compared to strictly national projects. This effort has enriched the statements providing at times a fascinating picture of the multi-faceted cross-border cooperation in the Baltic Sea Region. However, the statements still dwell too much on previous activities, </w:t>
      </w:r>
      <w:r w:rsidR="001D1BFD">
        <w:rPr>
          <w:rFonts w:ascii="Garamond" w:hAnsi="Garamond"/>
          <w:lang w:val="en-GB"/>
        </w:rPr>
        <w:t>several</w:t>
      </w:r>
      <w:r w:rsidRPr="00F02039">
        <w:rPr>
          <w:rFonts w:ascii="Garamond" w:hAnsi="Garamond"/>
          <w:lang w:val="en-GB"/>
        </w:rPr>
        <w:t xml:space="preserve"> of which even date back several years.</w:t>
      </w:r>
      <w:r w:rsidR="00A413E9">
        <w:rPr>
          <w:rFonts w:ascii="Garamond" w:hAnsi="Garamond"/>
          <w:lang w:val="en-GB"/>
        </w:rPr>
        <w:t xml:space="preserve"> Some contain lengthy general descriptions of regional activities and initia</w:t>
      </w:r>
      <w:r w:rsidR="00AE4B6E">
        <w:rPr>
          <w:rFonts w:ascii="Garamond" w:hAnsi="Garamond"/>
          <w:lang w:val="en-GB"/>
        </w:rPr>
        <w:t>ti</w:t>
      </w:r>
      <w:r w:rsidR="00A413E9">
        <w:rPr>
          <w:rFonts w:ascii="Garamond" w:hAnsi="Garamond"/>
          <w:lang w:val="en-GB"/>
        </w:rPr>
        <w:t>ves that are widely known</w:t>
      </w:r>
      <w:r w:rsidR="00AE4B6E">
        <w:rPr>
          <w:rFonts w:ascii="Garamond" w:hAnsi="Garamond"/>
          <w:lang w:val="en-GB"/>
        </w:rPr>
        <w:t xml:space="preserve"> and </w:t>
      </w:r>
      <w:r w:rsidR="001D1BFD">
        <w:rPr>
          <w:rFonts w:ascii="Garamond" w:hAnsi="Garamond"/>
          <w:lang w:val="en-GB"/>
        </w:rPr>
        <w:t xml:space="preserve">merely </w:t>
      </w:r>
      <w:r w:rsidR="00AE4B6E">
        <w:rPr>
          <w:rFonts w:ascii="Garamond" w:hAnsi="Garamond"/>
          <w:lang w:val="en-GB"/>
        </w:rPr>
        <w:t xml:space="preserve">sum up in which regional cooperation formats and initiatives respective country is </w:t>
      </w:r>
      <w:r w:rsidR="001D1BFD">
        <w:rPr>
          <w:rFonts w:ascii="Garamond" w:hAnsi="Garamond"/>
          <w:lang w:val="en-GB"/>
        </w:rPr>
        <w:t xml:space="preserve">or has been </w:t>
      </w:r>
      <w:r w:rsidR="00AE4B6E">
        <w:rPr>
          <w:rFonts w:ascii="Garamond" w:hAnsi="Garamond"/>
          <w:lang w:val="en-GB"/>
        </w:rPr>
        <w:t>participating.</w:t>
      </w:r>
      <w:r w:rsidRPr="00F02039">
        <w:rPr>
          <w:rFonts w:ascii="Garamond" w:hAnsi="Garamond"/>
          <w:lang w:val="en-GB"/>
        </w:rPr>
        <w:t xml:space="preserve"> </w:t>
      </w:r>
    </w:p>
    <w:p w:rsidR="00AE4B6E" w:rsidRDefault="00AE4B6E" w:rsidP="008C48D5">
      <w:pPr>
        <w:jc w:val="both"/>
        <w:rPr>
          <w:rFonts w:ascii="Garamond" w:hAnsi="Garamond"/>
          <w:lang w:val="en-GB"/>
        </w:rPr>
      </w:pPr>
    </w:p>
    <w:p w:rsidR="00D31FE0" w:rsidRPr="00F02039" w:rsidRDefault="00D31FE0" w:rsidP="008C48D5">
      <w:pPr>
        <w:jc w:val="both"/>
        <w:rPr>
          <w:rFonts w:ascii="Garamond" w:hAnsi="Garamond"/>
          <w:lang w:val="en-GB"/>
        </w:rPr>
      </w:pPr>
      <w:r w:rsidRPr="00F02039">
        <w:rPr>
          <w:rFonts w:ascii="Garamond" w:hAnsi="Garamond"/>
          <w:lang w:val="en-GB"/>
        </w:rPr>
        <w:t>Focus</w:t>
      </w:r>
      <w:r w:rsidR="00AE4B6E">
        <w:rPr>
          <w:rFonts w:ascii="Garamond" w:hAnsi="Garamond"/>
          <w:lang w:val="en-GB"/>
        </w:rPr>
        <w:t>s</w:t>
      </w:r>
      <w:r w:rsidRPr="00F02039">
        <w:rPr>
          <w:rFonts w:ascii="Garamond" w:hAnsi="Garamond"/>
          <w:lang w:val="en-GB"/>
        </w:rPr>
        <w:t xml:space="preserve">ing on the reporting period would be one way to counter such retrospective approach. Moreover, we still believe that the governments should strive more to include their </w:t>
      </w:r>
      <w:r w:rsidRPr="00F02039">
        <w:rPr>
          <w:rFonts w:ascii="Garamond" w:hAnsi="Garamond"/>
          <w:b/>
          <w:lang w:val="en-GB"/>
        </w:rPr>
        <w:t xml:space="preserve">goals and plans for future activities </w:t>
      </w:r>
      <w:r w:rsidRPr="00F02039">
        <w:rPr>
          <w:rFonts w:ascii="Garamond" w:hAnsi="Garamond"/>
          <w:lang w:val="en-GB"/>
        </w:rPr>
        <w:t xml:space="preserve">in line with the Resolution’s character as calls for future action. This is especially relevant as many </w:t>
      </w:r>
      <w:r w:rsidR="001D1BFD">
        <w:rPr>
          <w:rFonts w:ascii="Garamond" w:hAnsi="Garamond"/>
          <w:lang w:val="en-GB"/>
        </w:rPr>
        <w:t>p</w:t>
      </w:r>
      <w:r w:rsidRPr="00F02039">
        <w:rPr>
          <w:rFonts w:ascii="Garamond" w:hAnsi="Garamond"/>
          <w:lang w:val="en-GB"/>
        </w:rPr>
        <w:t>aragraphs address novel societal developments (e.g. digitalisation). In this respect, ideas or suggestions on how to tackle them in the medium to long term – both nationally and regionally – would certainly improve the statements. Instead of only looking back, it is thus our opinion that the government should adopt a more prospective reporting</w:t>
      </w:r>
      <w:r w:rsidR="00A4626E">
        <w:rPr>
          <w:rFonts w:ascii="Garamond" w:hAnsi="Garamond"/>
          <w:lang w:val="en-GB"/>
        </w:rPr>
        <w:t>,</w:t>
      </w:r>
      <w:r w:rsidRPr="00F02039">
        <w:rPr>
          <w:rFonts w:ascii="Garamond" w:hAnsi="Garamond"/>
          <w:lang w:val="en-GB"/>
        </w:rPr>
        <w:t xml:space="preserve"> offering </w:t>
      </w:r>
      <w:r w:rsidR="00A4626E">
        <w:rPr>
          <w:rFonts w:ascii="Garamond" w:hAnsi="Garamond"/>
          <w:lang w:val="en-GB"/>
        </w:rPr>
        <w:t xml:space="preserve">political </w:t>
      </w:r>
      <w:r w:rsidRPr="00F02039">
        <w:rPr>
          <w:rFonts w:ascii="Garamond" w:hAnsi="Garamond"/>
          <w:lang w:val="en-GB"/>
        </w:rPr>
        <w:t>visions on the future cooperation in the Baltic Sea Region.</w:t>
      </w:r>
      <w:r w:rsidR="00A4626E">
        <w:rPr>
          <w:rFonts w:ascii="Garamond" w:hAnsi="Garamond"/>
          <w:lang w:val="en-GB"/>
        </w:rPr>
        <w:t xml:space="preserve"> The Report “Vision for the Baltic Sea Region beyond 2020” by the Council of the Baltic Sea States Vision Group of June 2018 is a case in point. It has elaborated a number of fairly concrete recommendations concerning future cooperation within the CBSS and beyond, including structures, areas of activity and cooperation networks.  </w:t>
      </w:r>
    </w:p>
    <w:p w:rsidR="00D31FE0" w:rsidRPr="00F02039" w:rsidRDefault="00D31FE0" w:rsidP="008C48D5">
      <w:pPr>
        <w:jc w:val="both"/>
        <w:rPr>
          <w:rFonts w:ascii="Garamond" w:hAnsi="Garamond"/>
          <w:lang w:val="en-GB"/>
        </w:rPr>
      </w:pPr>
    </w:p>
    <w:p w:rsidR="00D31FE0" w:rsidRDefault="00D31FE0" w:rsidP="008C48D5">
      <w:pPr>
        <w:jc w:val="both"/>
        <w:rPr>
          <w:rFonts w:ascii="Garamond" w:hAnsi="Garamond"/>
          <w:lang w:val="en-GB"/>
        </w:rPr>
      </w:pPr>
      <w:r w:rsidRPr="00F02039">
        <w:rPr>
          <w:rFonts w:ascii="Garamond" w:hAnsi="Garamond"/>
          <w:lang w:val="en-GB"/>
        </w:rPr>
        <w:t>Third, the statements still almost solely list successful activities and projects. This focus is easily understandable according to the logic of the governments. However, we reiterate our suggestion from last year that the statements should also co</w:t>
      </w:r>
      <w:r w:rsidR="00A4626E">
        <w:rPr>
          <w:rFonts w:ascii="Garamond" w:hAnsi="Garamond"/>
          <w:lang w:val="en-GB"/>
        </w:rPr>
        <w:t>ver</w:t>
      </w:r>
      <w:r w:rsidRPr="00F02039">
        <w:rPr>
          <w:rFonts w:ascii="Garamond" w:hAnsi="Garamond"/>
          <w:lang w:val="en-GB"/>
        </w:rPr>
        <w:t xml:space="preserve"> </w:t>
      </w:r>
      <w:r w:rsidRPr="00F02039">
        <w:rPr>
          <w:rFonts w:ascii="Garamond" w:hAnsi="Garamond"/>
          <w:b/>
          <w:lang w:val="en-GB"/>
        </w:rPr>
        <w:t>shortcomings and failures</w:t>
      </w:r>
      <w:r w:rsidR="00A4626E">
        <w:rPr>
          <w:rFonts w:ascii="Garamond" w:hAnsi="Garamond"/>
          <w:b/>
          <w:lang w:val="en-GB"/>
        </w:rPr>
        <w:t xml:space="preserve"> of regional cooperation and related national efforts</w:t>
      </w:r>
      <w:r w:rsidRPr="00F02039">
        <w:rPr>
          <w:rFonts w:ascii="Garamond" w:hAnsi="Garamond"/>
          <w:lang w:val="en-GB"/>
        </w:rPr>
        <w:t xml:space="preserve">. </w:t>
      </w:r>
      <w:r w:rsidR="00A4626E">
        <w:rPr>
          <w:rFonts w:ascii="Garamond" w:hAnsi="Garamond"/>
          <w:lang w:val="en-GB"/>
        </w:rPr>
        <w:t>N</w:t>
      </w:r>
      <w:r w:rsidRPr="00F02039">
        <w:rPr>
          <w:rFonts w:ascii="Garamond" w:hAnsi="Garamond"/>
          <w:lang w:val="en-GB"/>
        </w:rPr>
        <w:t xml:space="preserve">egative experiences </w:t>
      </w:r>
      <w:r w:rsidR="00A4626E">
        <w:rPr>
          <w:rFonts w:ascii="Garamond" w:hAnsi="Garamond"/>
          <w:lang w:val="en-GB"/>
        </w:rPr>
        <w:t xml:space="preserve">would </w:t>
      </w:r>
      <w:r w:rsidRPr="00F02039">
        <w:rPr>
          <w:rFonts w:ascii="Garamond" w:hAnsi="Garamond"/>
          <w:lang w:val="en-GB"/>
        </w:rPr>
        <w:t>highlight most clearly existing challenges and areas where cooperative efforts are most warranted. In our eyes the statements would be more relevant by complementing the success stories with projects which met prevailing problems or failed completely.</w:t>
      </w:r>
    </w:p>
    <w:p w:rsidR="00FE6E95" w:rsidRDefault="00FE6E95" w:rsidP="008C48D5">
      <w:pPr>
        <w:jc w:val="both"/>
        <w:rPr>
          <w:rFonts w:ascii="Garamond" w:hAnsi="Garamond"/>
          <w:lang w:val="en-GB"/>
        </w:rPr>
      </w:pPr>
    </w:p>
    <w:p w:rsidR="00FE6E95" w:rsidRPr="00F02039" w:rsidRDefault="007B1D9C" w:rsidP="008C48D5">
      <w:pPr>
        <w:jc w:val="both"/>
        <w:rPr>
          <w:rFonts w:ascii="Garamond" w:hAnsi="Garamond"/>
          <w:lang w:val="en-GB"/>
        </w:rPr>
      </w:pPr>
      <w:r>
        <w:rPr>
          <w:rFonts w:ascii="Garamond" w:hAnsi="Garamond"/>
          <w:lang w:val="en-GB"/>
        </w:rPr>
        <w:t>Fourth, h</w:t>
      </w:r>
      <w:r w:rsidR="00A4626E">
        <w:rPr>
          <w:rFonts w:ascii="Garamond" w:hAnsi="Garamond"/>
          <w:lang w:val="en-GB"/>
        </w:rPr>
        <w:t>aving said that, t</w:t>
      </w:r>
      <w:r w:rsidR="00FE6E95">
        <w:rPr>
          <w:rFonts w:ascii="Garamond" w:hAnsi="Garamond"/>
          <w:lang w:val="en-GB"/>
        </w:rPr>
        <w:t xml:space="preserve">his time it is remarkable that several governments </w:t>
      </w:r>
      <w:r w:rsidR="00FE6E95" w:rsidRPr="00045F75">
        <w:rPr>
          <w:rFonts w:ascii="Garamond" w:hAnsi="Garamond"/>
          <w:b/>
          <w:lang w:val="en-GB"/>
        </w:rPr>
        <w:t>respond rather critically to certain aspects of the Resolution</w:t>
      </w:r>
      <w:r w:rsidR="00FE6E95">
        <w:rPr>
          <w:rFonts w:ascii="Garamond" w:hAnsi="Garamond"/>
          <w:lang w:val="en-GB"/>
        </w:rPr>
        <w:t>, expressing their disagreement with respective statement or doubting the necessity of the request.</w:t>
      </w:r>
      <w:r w:rsidR="00A4626E">
        <w:rPr>
          <w:rFonts w:ascii="Garamond" w:hAnsi="Garamond"/>
          <w:lang w:val="en-GB"/>
        </w:rPr>
        <w:t xml:space="preserve"> This is perhaps not exactly what the adopting parliaments had in mind</w:t>
      </w:r>
      <w:r w:rsidR="0054435B">
        <w:rPr>
          <w:rFonts w:ascii="Garamond" w:hAnsi="Garamond"/>
          <w:lang w:val="en-GB"/>
        </w:rPr>
        <w:t>.</w:t>
      </w:r>
      <w:r w:rsidR="00A4626E">
        <w:rPr>
          <w:rFonts w:ascii="Garamond" w:hAnsi="Garamond"/>
          <w:lang w:val="en-GB"/>
        </w:rPr>
        <w:t xml:space="preserve"> </w:t>
      </w:r>
      <w:r w:rsidR="0054435B">
        <w:rPr>
          <w:rFonts w:ascii="Garamond" w:hAnsi="Garamond"/>
          <w:lang w:val="en-GB"/>
        </w:rPr>
        <w:t xml:space="preserve">Nonetheless, </w:t>
      </w:r>
      <w:r w:rsidR="00DB3308">
        <w:rPr>
          <w:rFonts w:ascii="Garamond" w:hAnsi="Garamond"/>
          <w:lang w:val="en-GB"/>
        </w:rPr>
        <w:t xml:space="preserve">more </w:t>
      </w:r>
      <w:r w:rsidR="00A4626E">
        <w:rPr>
          <w:rFonts w:ascii="Garamond" w:hAnsi="Garamond"/>
          <w:lang w:val="en-GB"/>
        </w:rPr>
        <w:t xml:space="preserve">critical </w:t>
      </w:r>
      <w:r w:rsidR="0054435B">
        <w:rPr>
          <w:rFonts w:ascii="Garamond" w:hAnsi="Garamond"/>
          <w:lang w:val="en-GB"/>
        </w:rPr>
        <w:t xml:space="preserve">and sometimes even controversial </w:t>
      </w:r>
      <w:r w:rsidR="00A4626E">
        <w:rPr>
          <w:rFonts w:ascii="Garamond" w:hAnsi="Garamond"/>
          <w:lang w:val="en-GB"/>
        </w:rPr>
        <w:t xml:space="preserve">remarks could lead into a fruitful and constructive </w:t>
      </w:r>
      <w:r w:rsidR="0054435B">
        <w:rPr>
          <w:rFonts w:ascii="Garamond" w:hAnsi="Garamond"/>
          <w:lang w:val="en-GB"/>
        </w:rPr>
        <w:t>debate among governments, parliaments and other regional stakeholders, identifying</w:t>
      </w:r>
      <w:r w:rsidR="00DB4623">
        <w:rPr>
          <w:rFonts w:ascii="Garamond" w:hAnsi="Garamond"/>
          <w:lang w:val="en-GB"/>
        </w:rPr>
        <w:t xml:space="preserve"> jointly</w:t>
      </w:r>
      <w:r w:rsidR="0054435B">
        <w:rPr>
          <w:rFonts w:ascii="Garamond" w:hAnsi="Garamond"/>
          <w:lang w:val="en-GB"/>
        </w:rPr>
        <w:t xml:space="preserve"> what elements are required as well as realistic and feasible in order to improve and strengthen regional cooperation.   </w:t>
      </w:r>
    </w:p>
    <w:p w:rsidR="00D31FE0" w:rsidRDefault="00D31FE0" w:rsidP="008C48D5">
      <w:pPr>
        <w:jc w:val="both"/>
        <w:rPr>
          <w:rFonts w:ascii="Garamond" w:hAnsi="Garamond"/>
          <w:lang w:val="en-GB"/>
        </w:rPr>
      </w:pPr>
    </w:p>
    <w:p w:rsidR="00045F75" w:rsidRDefault="007B1D9C" w:rsidP="008C48D5">
      <w:pPr>
        <w:jc w:val="both"/>
        <w:rPr>
          <w:rFonts w:ascii="Garamond" w:hAnsi="Garamond"/>
          <w:lang w:val="en-GB"/>
        </w:rPr>
      </w:pPr>
      <w:r>
        <w:rPr>
          <w:rFonts w:ascii="Garamond" w:hAnsi="Garamond"/>
          <w:lang w:val="en-GB"/>
        </w:rPr>
        <w:t xml:space="preserve">Fifth, another </w:t>
      </w:r>
      <w:r w:rsidR="00045F75">
        <w:rPr>
          <w:rFonts w:ascii="Garamond" w:hAnsi="Garamond"/>
          <w:lang w:val="en-GB"/>
        </w:rPr>
        <w:t>r</w:t>
      </w:r>
      <w:r>
        <w:rPr>
          <w:rFonts w:ascii="Garamond" w:hAnsi="Garamond"/>
          <w:lang w:val="en-GB"/>
        </w:rPr>
        <w:t xml:space="preserve">emarkable comment has been made by the Finnish Government </w:t>
      </w:r>
      <w:r w:rsidR="00045F75">
        <w:rPr>
          <w:rFonts w:ascii="Garamond" w:hAnsi="Garamond"/>
          <w:lang w:val="en-GB"/>
        </w:rPr>
        <w:t>regarding the reporting period: “The recommendations presented by the conference would require more than one year to be reached and the monitoring of these steps once a year does not necessarily give a full picture of the cooperation and action that is implemented in the region.” Th</w:t>
      </w:r>
      <w:r w:rsidR="00E60506">
        <w:rPr>
          <w:rFonts w:ascii="Garamond" w:hAnsi="Garamond"/>
          <w:lang w:val="en-GB"/>
        </w:rPr>
        <w:t xml:space="preserve">e rather </w:t>
      </w:r>
      <w:r w:rsidR="00E60506" w:rsidRPr="00940C99">
        <w:rPr>
          <w:rFonts w:ascii="Garamond" w:hAnsi="Garamond"/>
          <w:b/>
          <w:lang w:val="en-GB"/>
        </w:rPr>
        <w:t>narrow</w:t>
      </w:r>
      <w:r w:rsidR="00045F75" w:rsidRPr="00940C99">
        <w:rPr>
          <w:rFonts w:ascii="Garamond" w:hAnsi="Garamond"/>
          <w:b/>
          <w:lang w:val="en-GB"/>
        </w:rPr>
        <w:t xml:space="preserve"> </w:t>
      </w:r>
      <w:r w:rsidR="00E60506" w:rsidRPr="00940C99">
        <w:rPr>
          <w:rFonts w:ascii="Garamond" w:hAnsi="Garamond"/>
          <w:b/>
          <w:lang w:val="en-GB"/>
        </w:rPr>
        <w:t xml:space="preserve">time frame </w:t>
      </w:r>
      <w:r w:rsidR="00045F75" w:rsidRPr="00940C99">
        <w:rPr>
          <w:rFonts w:ascii="Garamond" w:hAnsi="Garamond"/>
          <w:b/>
          <w:lang w:val="en-GB"/>
        </w:rPr>
        <w:t>m</w:t>
      </w:r>
      <w:r w:rsidR="005338FA" w:rsidRPr="00940C99">
        <w:rPr>
          <w:rFonts w:ascii="Garamond" w:hAnsi="Garamond"/>
          <w:b/>
          <w:lang w:val="en-GB"/>
        </w:rPr>
        <w:t>ight</w:t>
      </w:r>
      <w:r w:rsidR="00E60506" w:rsidRPr="00940C99">
        <w:rPr>
          <w:rFonts w:ascii="Garamond" w:hAnsi="Garamond"/>
          <w:b/>
          <w:lang w:val="en-GB"/>
        </w:rPr>
        <w:t xml:space="preserve"> indeed</w:t>
      </w:r>
      <w:r w:rsidR="00045F75" w:rsidRPr="00940C99">
        <w:rPr>
          <w:rFonts w:ascii="Garamond" w:hAnsi="Garamond"/>
          <w:b/>
          <w:lang w:val="en-GB"/>
        </w:rPr>
        <w:t xml:space="preserve"> be a core problem</w:t>
      </w:r>
      <w:r w:rsidR="00045F75">
        <w:rPr>
          <w:rFonts w:ascii="Garamond" w:hAnsi="Garamond"/>
          <w:lang w:val="en-GB"/>
        </w:rPr>
        <w:t xml:space="preserve"> of the whole exercise</w:t>
      </w:r>
      <w:r w:rsidR="005338FA">
        <w:rPr>
          <w:rFonts w:ascii="Garamond" w:hAnsi="Garamond"/>
          <w:lang w:val="en-GB"/>
        </w:rPr>
        <w:t xml:space="preserve"> and would at least partially explain why there are quite some repetitions in the statements</w:t>
      </w:r>
      <w:r w:rsidR="00E60506">
        <w:rPr>
          <w:rFonts w:ascii="Garamond" w:hAnsi="Garamond"/>
          <w:lang w:val="en-GB"/>
        </w:rPr>
        <w:t xml:space="preserve"> </w:t>
      </w:r>
      <w:r w:rsidR="005338FA">
        <w:rPr>
          <w:rFonts w:ascii="Garamond" w:hAnsi="Garamond"/>
          <w:lang w:val="en-GB"/>
        </w:rPr>
        <w:t xml:space="preserve">from </w:t>
      </w:r>
      <w:r w:rsidR="006E0164">
        <w:rPr>
          <w:rFonts w:ascii="Garamond" w:hAnsi="Garamond"/>
          <w:lang w:val="en-GB"/>
        </w:rPr>
        <w:t>responses</w:t>
      </w:r>
      <w:r w:rsidR="005338FA">
        <w:rPr>
          <w:rFonts w:ascii="Garamond" w:hAnsi="Garamond"/>
          <w:lang w:val="en-GB"/>
        </w:rPr>
        <w:t xml:space="preserve"> of previous years</w:t>
      </w:r>
      <w:r w:rsidR="00E60506">
        <w:rPr>
          <w:rFonts w:ascii="Garamond" w:hAnsi="Garamond"/>
          <w:lang w:val="en-GB"/>
        </w:rPr>
        <w:t xml:space="preserve"> (in particular in the section on sustainable tourism which </w:t>
      </w:r>
      <w:r w:rsidR="00DB3308">
        <w:rPr>
          <w:rFonts w:ascii="Garamond" w:hAnsi="Garamond"/>
          <w:lang w:val="en-GB"/>
        </w:rPr>
        <w:t xml:space="preserve">has </w:t>
      </w:r>
      <w:r w:rsidR="00E60506">
        <w:rPr>
          <w:rFonts w:ascii="Garamond" w:hAnsi="Garamond"/>
          <w:lang w:val="en-GB"/>
        </w:rPr>
        <w:t>also been a Resolution item in 2016)</w:t>
      </w:r>
      <w:r w:rsidR="005338FA">
        <w:rPr>
          <w:rFonts w:ascii="Garamond" w:hAnsi="Garamond"/>
          <w:lang w:val="en-GB"/>
        </w:rPr>
        <w:t xml:space="preserve"> and why s</w:t>
      </w:r>
      <w:r w:rsidR="00E60506">
        <w:rPr>
          <w:rFonts w:ascii="Garamond" w:hAnsi="Garamond"/>
          <w:lang w:val="en-GB"/>
        </w:rPr>
        <w:t>everal</w:t>
      </w:r>
      <w:r w:rsidR="005338FA">
        <w:rPr>
          <w:rFonts w:ascii="Garamond" w:hAnsi="Garamond"/>
          <w:lang w:val="en-GB"/>
        </w:rPr>
        <w:t xml:space="preserve"> governmental </w:t>
      </w:r>
      <w:r w:rsidR="00E60506">
        <w:rPr>
          <w:rFonts w:ascii="Garamond" w:hAnsi="Garamond"/>
          <w:lang w:val="en-GB"/>
        </w:rPr>
        <w:t>responses</w:t>
      </w:r>
      <w:r w:rsidR="005338FA">
        <w:rPr>
          <w:rFonts w:ascii="Garamond" w:hAnsi="Garamond"/>
          <w:lang w:val="en-GB"/>
        </w:rPr>
        <w:t xml:space="preserve"> are not very concrete</w:t>
      </w:r>
      <w:r w:rsidR="00045F75">
        <w:rPr>
          <w:rFonts w:ascii="Garamond" w:hAnsi="Garamond"/>
          <w:lang w:val="en-GB"/>
        </w:rPr>
        <w:t xml:space="preserve">. Taking </w:t>
      </w:r>
      <w:r w:rsidR="00DB4623">
        <w:rPr>
          <w:rFonts w:ascii="Garamond" w:hAnsi="Garamond"/>
          <w:lang w:val="en-GB"/>
        </w:rPr>
        <w:t>the Finnish</w:t>
      </w:r>
      <w:r w:rsidR="00045F75">
        <w:rPr>
          <w:rFonts w:ascii="Garamond" w:hAnsi="Garamond"/>
          <w:lang w:val="en-GB"/>
        </w:rPr>
        <w:t xml:space="preserve"> rema</w:t>
      </w:r>
      <w:r w:rsidR="005338FA">
        <w:rPr>
          <w:rFonts w:ascii="Garamond" w:hAnsi="Garamond"/>
          <w:lang w:val="en-GB"/>
        </w:rPr>
        <w:t>rk</w:t>
      </w:r>
      <w:r w:rsidR="00045F75">
        <w:rPr>
          <w:rFonts w:ascii="Garamond" w:hAnsi="Garamond"/>
          <w:lang w:val="en-GB"/>
        </w:rPr>
        <w:t xml:space="preserve"> up, a new </w:t>
      </w:r>
      <w:r w:rsidR="0093201B">
        <w:rPr>
          <w:rFonts w:ascii="Garamond" w:hAnsi="Garamond"/>
          <w:lang w:val="en-GB"/>
        </w:rPr>
        <w:t>r</w:t>
      </w:r>
      <w:r w:rsidR="00E60506">
        <w:rPr>
          <w:rFonts w:ascii="Garamond" w:hAnsi="Garamond"/>
          <w:lang w:val="en-GB"/>
        </w:rPr>
        <w:t xml:space="preserve">esolution and </w:t>
      </w:r>
      <w:r w:rsidR="00045F75">
        <w:rPr>
          <w:rFonts w:ascii="Garamond" w:hAnsi="Garamond"/>
          <w:lang w:val="en-GB"/>
        </w:rPr>
        <w:t>reporting system</w:t>
      </w:r>
      <w:r w:rsidR="005338FA">
        <w:rPr>
          <w:rFonts w:ascii="Garamond" w:hAnsi="Garamond"/>
          <w:lang w:val="en-GB"/>
        </w:rPr>
        <w:t xml:space="preserve"> could be a way out.</w:t>
      </w:r>
      <w:r w:rsidR="00E60506">
        <w:rPr>
          <w:rFonts w:ascii="Garamond" w:hAnsi="Garamond"/>
          <w:lang w:val="en-GB"/>
        </w:rPr>
        <w:t xml:space="preserve"> If the BSPC Resolution would focus </w:t>
      </w:r>
      <w:r w:rsidR="00940C99">
        <w:rPr>
          <w:rFonts w:ascii="Garamond" w:hAnsi="Garamond"/>
          <w:lang w:val="en-GB"/>
        </w:rPr>
        <w:t xml:space="preserve">even more systematically </w:t>
      </w:r>
      <w:r w:rsidR="00E60506">
        <w:rPr>
          <w:rFonts w:ascii="Garamond" w:hAnsi="Garamond"/>
          <w:lang w:val="en-GB"/>
        </w:rPr>
        <w:t xml:space="preserve">on different topics each year the governments could be given two years to respond on the implementation </w:t>
      </w:r>
      <w:r w:rsidR="006E0164">
        <w:rPr>
          <w:rFonts w:ascii="Garamond" w:hAnsi="Garamond"/>
          <w:lang w:val="en-GB"/>
        </w:rPr>
        <w:t>of related calls within a somewhat longer period of time</w:t>
      </w:r>
      <w:r w:rsidR="00E60506">
        <w:rPr>
          <w:rFonts w:ascii="Garamond" w:hAnsi="Garamond"/>
          <w:lang w:val="en-GB"/>
        </w:rPr>
        <w:t xml:space="preserve">. </w:t>
      </w:r>
      <w:r w:rsidR="006E0164">
        <w:rPr>
          <w:rFonts w:ascii="Garamond" w:hAnsi="Garamond"/>
          <w:lang w:val="en-GB"/>
        </w:rPr>
        <w:t xml:space="preserve">After </w:t>
      </w:r>
      <w:r w:rsidR="006E0164">
        <w:rPr>
          <w:rFonts w:ascii="Garamond" w:hAnsi="Garamond"/>
          <w:lang w:val="en-GB"/>
        </w:rPr>
        <w:lastRenderedPageBreak/>
        <w:t xml:space="preserve">the two years the exercise </w:t>
      </w:r>
      <w:r w:rsidR="006434BE">
        <w:rPr>
          <w:rFonts w:ascii="Garamond" w:hAnsi="Garamond"/>
          <w:lang w:val="en-GB"/>
        </w:rPr>
        <w:t xml:space="preserve">focussing on the same issue areas </w:t>
      </w:r>
      <w:r w:rsidR="006E0164">
        <w:rPr>
          <w:rFonts w:ascii="Garamond" w:hAnsi="Garamond"/>
          <w:lang w:val="en-GB"/>
        </w:rPr>
        <w:t xml:space="preserve">could start again, with the Resolution taking up concrete points from the governmental statements judging whether </w:t>
      </w:r>
      <w:r w:rsidR="00940C99">
        <w:rPr>
          <w:rFonts w:ascii="Garamond" w:hAnsi="Garamond"/>
          <w:lang w:val="en-GB"/>
        </w:rPr>
        <w:t>the</w:t>
      </w:r>
      <w:r w:rsidR="006E0164">
        <w:rPr>
          <w:rFonts w:ascii="Garamond" w:hAnsi="Garamond"/>
          <w:lang w:val="en-GB"/>
        </w:rPr>
        <w:t xml:space="preserve"> implementation over two years </w:t>
      </w:r>
      <w:r w:rsidR="006434BE">
        <w:rPr>
          <w:rFonts w:ascii="Garamond" w:hAnsi="Garamond"/>
          <w:lang w:val="en-GB"/>
        </w:rPr>
        <w:t xml:space="preserve">has been </w:t>
      </w:r>
      <w:r w:rsidR="006E0164">
        <w:rPr>
          <w:rFonts w:ascii="Garamond" w:hAnsi="Garamond"/>
          <w:lang w:val="en-GB"/>
        </w:rPr>
        <w:t xml:space="preserve">satisfying or </w:t>
      </w:r>
      <w:r w:rsidR="00DB4623">
        <w:rPr>
          <w:rFonts w:ascii="Garamond" w:hAnsi="Garamond"/>
          <w:lang w:val="en-GB"/>
        </w:rPr>
        <w:t xml:space="preserve">rather </w:t>
      </w:r>
      <w:r w:rsidR="006E0164">
        <w:rPr>
          <w:rFonts w:ascii="Garamond" w:hAnsi="Garamond"/>
          <w:lang w:val="en-GB"/>
        </w:rPr>
        <w:t xml:space="preserve">not. </w:t>
      </w:r>
      <w:r w:rsidR="00E60506">
        <w:rPr>
          <w:rFonts w:ascii="Garamond" w:hAnsi="Garamond"/>
          <w:lang w:val="en-GB"/>
        </w:rPr>
        <w:t>This way there still would be a Res</w:t>
      </w:r>
      <w:r w:rsidR="006E0164">
        <w:rPr>
          <w:rFonts w:ascii="Garamond" w:hAnsi="Garamond"/>
          <w:lang w:val="en-GB"/>
        </w:rPr>
        <w:t>o</w:t>
      </w:r>
      <w:r w:rsidR="00E60506">
        <w:rPr>
          <w:rFonts w:ascii="Garamond" w:hAnsi="Garamond"/>
          <w:lang w:val="en-GB"/>
        </w:rPr>
        <w:t>l</w:t>
      </w:r>
      <w:r w:rsidR="006E0164">
        <w:rPr>
          <w:rFonts w:ascii="Garamond" w:hAnsi="Garamond"/>
          <w:lang w:val="en-GB"/>
        </w:rPr>
        <w:t>u</w:t>
      </w:r>
      <w:r w:rsidR="00E60506">
        <w:rPr>
          <w:rFonts w:ascii="Garamond" w:hAnsi="Garamond"/>
          <w:lang w:val="en-GB"/>
        </w:rPr>
        <w:t>tion as well as govern</w:t>
      </w:r>
      <w:r w:rsidR="006E0164">
        <w:rPr>
          <w:rFonts w:ascii="Garamond" w:hAnsi="Garamond"/>
          <w:lang w:val="en-GB"/>
        </w:rPr>
        <w:t>men</w:t>
      </w:r>
      <w:r w:rsidR="00E60506">
        <w:rPr>
          <w:rFonts w:ascii="Garamond" w:hAnsi="Garamond"/>
          <w:lang w:val="en-GB"/>
        </w:rPr>
        <w:t>tal responses on i</w:t>
      </w:r>
      <w:r w:rsidR="006E0164">
        <w:rPr>
          <w:rFonts w:ascii="Garamond" w:hAnsi="Garamond"/>
          <w:lang w:val="en-GB"/>
        </w:rPr>
        <w:t>ts</w:t>
      </w:r>
      <w:r w:rsidR="00E60506">
        <w:rPr>
          <w:rFonts w:ascii="Garamond" w:hAnsi="Garamond"/>
          <w:lang w:val="en-GB"/>
        </w:rPr>
        <w:t xml:space="preserve"> impl</w:t>
      </w:r>
      <w:r w:rsidR="006E0164">
        <w:rPr>
          <w:rFonts w:ascii="Garamond" w:hAnsi="Garamond"/>
          <w:lang w:val="en-GB"/>
        </w:rPr>
        <w:t>e</w:t>
      </w:r>
      <w:r w:rsidR="00E60506">
        <w:rPr>
          <w:rFonts w:ascii="Garamond" w:hAnsi="Garamond"/>
          <w:lang w:val="en-GB"/>
        </w:rPr>
        <w:t>mentation every year</w:t>
      </w:r>
      <w:r w:rsidR="006E0164">
        <w:rPr>
          <w:rFonts w:ascii="Garamond" w:hAnsi="Garamond"/>
          <w:lang w:val="en-GB"/>
        </w:rPr>
        <w:t>.</w:t>
      </w:r>
      <w:r w:rsidR="00E60506">
        <w:rPr>
          <w:rFonts w:ascii="Garamond" w:hAnsi="Garamond"/>
          <w:lang w:val="en-GB"/>
        </w:rPr>
        <w:t xml:space="preserve"> </w:t>
      </w:r>
      <w:r w:rsidR="006E0164">
        <w:rPr>
          <w:rFonts w:ascii="Garamond" w:hAnsi="Garamond"/>
          <w:lang w:val="en-GB"/>
        </w:rPr>
        <w:t>Also within this context</w:t>
      </w:r>
      <w:r w:rsidR="00940C99">
        <w:rPr>
          <w:rFonts w:ascii="Garamond" w:hAnsi="Garamond"/>
          <w:lang w:val="en-GB"/>
        </w:rPr>
        <w:t xml:space="preserve">, while most paragraphs of the Resolution are formulated fairly concrete asking for the implementation of specific aspects </w:t>
      </w:r>
      <w:r w:rsidR="00DB4623">
        <w:rPr>
          <w:rFonts w:ascii="Garamond" w:hAnsi="Garamond"/>
          <w:lang w:val="en-GB"/>
        </w:rPr>
        <w:t>others</w:t>
      </w:r>
      <w:r w:rsidR="00940C99">
        <w:rPr>
          <w:rFonts w:ascii="Garamond" w:hAnsi="Garamond"/>
          <w:lang w:val="en-GB"/>
        </w:rPr>
        <w:t xml:space="preserve"> are rather short and perhaps not concrete enough. An even</w:t>
      </w:r>
      <w:r w:rsidR="006E0164">
        <w:rPr>
          <w:rFonts w:ascii="Garamond" w:hAnsi="Garamond"/>
          <w:lang w:val="en-GB"/>
        </w:rPr>
        <w:t xml:space="preserve"> m</w:t>
      </w:r>
      <w:r w:rsidR="00045F75">
        <w:rPr>
          <w:rFonts w:ascii="Garamond" w:hAnsi="Garamond"/>
          <w:lang w:val="en-GB"/>
        </w:rPr>
        <w:t xml:space="preserve">ore concrete </w:t>
      </w:r>
      <w:r w:rsidR="006E0164">
        <w:rPr>
          <w:rFonts w:ascii="Garamond" w:hAnsi="Garamond"/>
          <w:lang w:val="en-GB"/>
        </w:rPr>
        <w:t xml:space="preserve">and detailed </w:t>
      </w:r>
      <w:r w:rsidR="00045F75">
        <w:rPr>
          <w:rFonts w:ascii="Garamond" w:hAnsi="Garamond"/>
          <w:lang w:val="en-GB"/>
        </w:rPr>
        <w:t xml:space="preserve">formulation of </w:t>
      </w:r>
      <w:r w:rsidR="006E0164">
        <w:rPr>
          <w:rFonts w:ascii="Garamond" w:hAnsi="Garamond"/>
          <w:lang w:val="en-GB"/>
        </w:rPr>
        <w:t xml:space="preserve">calls </w:t>
      </w:r>
      <w:r w:rsidR="00940C99">
        <w:rPr>
          <w:rFonts w:ascii="Garamond" w:hAnsi="Garamond"/>
          <w:lang w:val="en-GB"/>
        </w:rPr>
        <w:t xml:space="preserve">throughout </w:t>
      </w:r>
      <w:r w:rsidR="006E0164">
        <w:rPr>
          <w:rFonts w:ascii="Garamond" w:hAnsi="Garamond"/>
          <w:lang w:val="en-GB"/>
        </w:rPr>
        <w:t>could be helpful</w:t>
      </w:r>
      <w:r w:rsidR="00045F75">
        <w:rPr>
          <w:rFonts w:ascii="Garamond" w:hAnsi="Garamond"/>
          <w:lang w:val="en-GB"/>
        </w:rPr>
        <w:t xml:space="preserve"> </w:t>
      </w:r>
      <w:r w:rsidR="00940C99">
        <w:rPr>
          <w:rFonts w:ascii="Garamond" w:hAnsi="Garamond"/>
          <w:lang w:val="en-GB"/>
        </w:rPr>
        <w:t>for</w:t>
      </w:r>
      <w:r w:rsidR="00045F75">
        <w:rPr>
          <w:rFonts w:ascii="Garamond" w:hAnsi="Garamond"/>
          <w:lang w:val="en-GB"/>
        </w:rPr>
        <w:t xml:space="preserve"> governments </w:t>
      </w:r>
      <w:r w:rsidR="00940C99">
        <w:rPr>
          <w:rFonts w:ascii="Garamond" w:hAnsi="Garamond"/>
          <w:lang w:val="en-GB"/>
        </w:rPr>
        <w:t>to know exactly what should be implemented and perhaps even how</w:t>
      </w:r>
      <w:r w:rsidR="00DB4623">
        <w:rPr>
          <w:rFonts w:ascii="Garamond" w:hAnsi="Garamond"/>
          <w:lang w:val="en-GB"/>
        </w:rPr>
        <w:t>.</w:t>
      </w:r>
      <w:r w:rsidR="00940C99">
        <w:rPr>
          <w:rFonts w:ascii="Garamond" w:hAnsi="Garamond"/>
          <w:lang w:val="en-GB"/>
        </w:rPr>
        <w:t xml:space="preserve"> </w:t>
      </w:r>
      <w:r w:rsidR="006434BE">
        <w:rPr>
          <w:rFonts w:ascii="Garamond" w:hAnsi="Garamond"/>
          <w:lang w:val="en-GB"/>
        </w:rPr>
        <w:t>Then, they o</w:t>
      </w:r>
      <w:r w:rsidR="00940C99">
        <w:rPr>
          <w:rFonts w:ascii="Garamond" w:hAnsi="Garamond"/>
          <w:lang w:val="en-GB"/>
        </w:rPr>
        <w:t xml:space="preserve">verall </w:t>
      </w:r>
      <w:r w:rsidR="006434BE">
        <w:rPr>
          <w:rFonts w:ascii="Garamond" w:hAnsi="Garamond"/>
          <w:lang w:val="en-GB"/>
        </w:rPr>
        <w:t xml:space="preserve">may </w:t>
      </w:r>
      <w:r w:rsidR="00940C99">
        <w:rPr>
          <w:rFonts w:ascii="Garamond" w:hAnsi="Garamond"/>
          <w:lang w:val="en-GB"/>
        </w:rPr>
        <w:t>find it</w:t>
      </w:r>
      <w:r w:rsidR="00045F75">
        <w:rPr>
          <w:rFonts w:ascii="Garamond" w:hAnsi="Garamond"/>
          <w:lang w:val="en-GB"/>
        </w:rPr>
        <w:t xml:space="preserve"> </w:t>
      </w:r>
      <w:r w:rsidR="00DB4623">
        <w:rPr>
          <w:rFonts w:ascii="Garamond" w:hAnsi="Garamond"/>
          <w:lang w:val="en-GB"/>
        </w:rPr>
        <w:t>easier</w:t>
      </w:r>
      <w:r w:rsidR="00045F75">
        <w:rPr>
          <w:rFonts w:ascii="Garamond" w:hAnsi="Garamond"/>
          <w:lang w:val="en-GB"/>
        </w:rPr>
        <w:t xml:space="preserve"> </w:t>
      </w:r>
      <w:r w:rsidR="00940C99">
        <w:rPr>
          <w:rFonts w:ascii="Garamond" w:hAnsi="Garamond"/>
          <w:lang w:val="en-GB"/>
        </w:rPr>
        <w:t xml:space="preserve">to </w:t>
      </w:r>
      <w:r w:rsidR="00045F75">
        <w:rPr>
          <w:rFonts w:ascii="Garamond" w:hAnsi="Garamond"/>
          <w:lang w:val="en-GB"/>
        </w:rPr>
        <w:t>respond to</w:t>
      </w:r>
      <w:r w:rsidR="00DB4623">
        <w:rPr>
          <w:rFonts w:ascii="Garamond" w:hAnsi="Garamond"/>
          <w:lang w:val="en-GB"/>
        </w:rPr>
        <w:t xml:space="preserve"> them</w:t>
      </w:r>
      <w:r w:rsidR="00940C99">
        <w:rPr>
          <w:rFonts w:ascii="Garamond" w:hAnsi="Garamond"/>
          <w:lang w:val="en-GB"/>
        </w:rPr>
        <w:t xml:space="preserve"> in a more concrete and specific way</w:t>
      </w:r>
      <w:r w:rsidR="00045F75">
        <w:rPr>
          <w:rFonts w:ascii="Garamond" w:hAnsi="Garamond"/>
          <w:lang w:val="en-GB"/>
        </w:rPr>
        <w:t xml:space="preserve">. </w:t>
      </w:r>
    </w:p>
    <w:p w:rsidR="002D1BDE" w:rsidRDefault="002D1BDE" w:rsidP="008C48D5">
      <w:pPr>
        <w:jc w:val="both"/>
        <w:rPr>
          <w:rFonts w:ascii="Garamond" w:hAnsi="Garamond"/>
          <w:lang w:val="en-GB"/>
        </w:rPr>
      </w:pPr>
    </w:p>
    <w:p w:rsidR="00D31FE0" w:rsidRPr="00F02039" w:rsidRDefault="00D31FE0" w:rsidP="008C48D5">
      <w:pPr>
        <w:jc w:val="both"/>
        <w:rPr>
          <w:rFonts w:ascii="Garamond" w:hAnsi="Garamond"/>
          <w:lang w:val="en-GB"/>
        </w:rPr>
      </w:pPr>
      <w:r w:rsidRPr="00F02039">
        <w:rPr>
          <w:rFonts w:ascii="Garamond" w:hAnsi="Garamond"/>
          <w:lang w:val="en-GB"/>
        </w:rPr>
        <w:t xml:space="preserve">Finally, we </w:t>
      </w:r>
      <w:r w:rsidR="00E60506">
        <w:rPr>
          <w:rFonts w:ascii="Garamond" w:hAnsi="Garamond"/>
          <w:lang w:val="en-GB"/>
        </w:rPr>
        <w:t>also</w:t>
      </w:r>
      <w:r w:rsidRPr="00F02039">
        <w:rPr>
          <w:rFonts w:ascii="Garamond" w:hAnsi="Garamond"/>
          <w:lang w:val="en-GB"/>
        </w:rPr>
        <w:t xml:space="preserve"> highly welcome</w:t>
      </w:r>
      <w:r w:rsidR="00E60506">
        <w:rPr>
          <w:rFonts w:ascii="Garamond" w:hAnsi="Garamond"/>
          <w:lang w:val="en-GB"/>
        </w:rPr>
        <w:t xml:space="preserve"> that</w:t>
      </w:r>
      <w:r w:rsidRPr="00F02039">
        <w:rPr>
          <w:rFonts w:ascii="Garamond" w:hAnsi="Garamond"/>
          <w:lang w:val="en-GB"/>
        </w:rPr>
        <w:t>, as the Resolution puts it, “successful steps taken to re-establish full-scale and comprehensive political dialogue in the Baltic Sea Region”, most prominently shown by the meeting</w:t>
      </w:r>
      <w:r w:rsidR="00A73A6C">
        <w:rPr>
          <w:rFonts w:ascii="Garamond" w:hAnsi="Garamond"/>
          <w:lang w:val="en-GB"/>
        </w:rPr>
        <w:t>s</w:t>
      </w:r>
      <w:r w:rsidRPr="00F02039">
        <w:rPr>
          <w:rFonts w:ascii="Garamond" w:hAnsi="Garamond"/>
          <w:lang w:val="en-GB"/>
        </w:rPr>
        <w:t xml:space="preserve"> of the foreign ministers in</w:t>
      </w:r>
      <w:r w:rsidR="00E60506">
        <w:rPr>
          <w:rFonts w:ascii="Garamond" w:hAnsi="Garamond"/>
          <w:lang w:val="en-GB"/>
        </w:rPr>
        <w:t xml:space="preserve"> Reykjavik in</w:t>
      </w:r>
      <w:r w:rsidRPr="00F02039">
        <w:rPr>
          <w:rFonts w:ascii="Garamond" w:hAnsi="Garamond"/>
          <w:lang w:val="en-GB"/>
        </w:rPr>
        <w:t xml:space="preserve"> June 2017</w:t>
      </w:r>
      <w:r w:rsidR="00A73A6C">
        <w:rPr>
          <w:rFonts w:ascii="Garamond" w:hAnsi="Garamond"/>
          <w:lang w:val="en-GB"/>
        </w:rPr>
        <w:t xml:space="preserve"> and Stockholm in June 2018</w:t>
      </w:r>
      <w:r w:rsidRPr="00F02039">
        <w:rPr>
          <w:rFonts w:ascii="Garamond" w:hAnsi="Garamond"/>
          <w:lang w:val="en-GB"/>
        </w:rPr>
        <w:t>. However, certain tensions and misgivings obviously prevail as expressed for instance by the Norwegian</w:t>
      </w:r>
      <w:r w:rsidR="00486E34">
        <w:rPr>
          <w:rFonts w:ascii="Garamond" w:hAnsi="Garamond"/>
          <w:lang w:val="en-GB"/>
        </w:rPr>
        <w:t>,</w:t>
      </w:r>
      <w:r w:rsidR="00FE6E95">
        <w:rPr>
          <w:rFonts w:ascii="Garamond" w:hAnsi="Garamond"/>
          <w:lang w:val="en-GB"/>
        </w:rPr>
        <w:t xml:space="preserve"> the German</w:t>
      </w:r>
      <w:r w:rsidR="00260086">
        <w:rPr>
          <w:rFonts w:ascii="Garamond" w:hAnsi="Garamond"/>
          <w:lang w:val="en-GB"/>
        </w:rPr>
        <w:t xml:space="preserve"> Federal</w:t>
      </w:r>
      <w:r w:rsidR="00486E34">
        <w:rPr>
          <w:rFonts w:ascii="Garamond" w:hAnsi="Garamond"/>
          <w:lang w:val="en-GB"/>
        </w:rPr>
        <w:t xml:space="preserve"> and the Schleswig-Holstein</w:t>
      </w:r>
      <w:r w:rsidR="00FE6E95">
        <w:rPr>
          <w:rFonts w:ascii="Garamond" w:hAnsi="Garamond"/>
          <w:lang w:val="en-GB"/>
        </w:rPr>
        <w:t xml:space="preserve"> </w:t>
      </w:r>
      <w:r w:rsidR="00260086">
        <w:rPr>
          <w:rFonts w:ascii="Garamond" w:hAnsi="Garamond"/>
          <w:lang w:val="en-GB"/>
        </w:rPr>
        <w:t>G</w:t>
      </w:r>
      <w:r w:rsidRPr="00F02039">
        <w:rPr>
          <w:rFonts w:ascii="Garamond" w:hAnsi="Garamond"/>
          <w:lang w:val="en-GB"/>
        </w:rPr>
        <w:t>overnment</w:t>
      </w:r>
      <w:r w:rsidR="00FE6E95">
        <w:rPr>
          <w:rFonts w:ascii="Garamond" w:hAnsi="Garamond"/>
          <w:lang w:val="en-GB"/>
        </w:rPr>
        <w:t>s</w:t>
      </w:r>
      <w:r w:rsidRPr="00F02039">
        <w:rPr>
          <w:rFonts w:ascii="Garamond" w:hAnsi="Garamond"/>
          <w:lang w:val="en-GB"/>
        </w:rPr>
        <w:t>. Most statements still read like technical exercise</w:t>
      </w:r>
      <w:r w:rsidR="0054435B">
        <w:rPr>
          <w:rFonts w:ascii="Garamond" w:hAnsi="Garamond"/>
          <w:lang w:val="en-GB"/>
        </w:rPr>
        <w:t>s</w:t>
      </w:r>
      <w:r w:rsidRPr="00F02039">
        <w:rPr>
          <w:rFonts w:ascii="Garamond" w:hAnsi="Garamond"/>
          <w:lang w:val="en-GB"/>
        </w:rPr>
        <w:t xml:space="preserve"> without taking into account the broader political climate</w:t>
      </w:r>
      <w:r w:rsidR="0054435B">
        <w:rPr>
          <w:rFonts w:ascii="Garamond" w:hAnsi="Garamond"/>
          <w:lang w:val="en-GB"/>
        </w:rPr>
        <w:t xml:space="preserve"> and without revealing high political ambitions</w:t>
      </w:r>
      <w:r w:rsidRPr="00F02039">
        <w:rPr>
          <w:rFonts w:ascii="Garamond" w:hAnsi="Garamond"/>
          <w:lang w:val="en-GB"/>
        </w:rPr>
        <w:t xml:space="preserve">. Again, we do not see the merit in politicising successful local and transnational activities. But we find it unfortunate that the statements do not address </w:t>
      </w:r>
      <w:r w:rsidRPr="00F02039">
        <w:rPr>
          <w:rFonts w:ascii="Garamond" w:hAnsi="Garamond"/>
          <w:b/>
          <w:lang w:val="en-GB"/>
        </w:rPr>
        <w:t>local implications and</w:t>
      </w:r>
      <w:r w:rsidRPr="00F02039">
        <w:rPr>
          <w:b/>
          <w:lang w:val="en-GB"/>
        </w:rPr>
        <w:t xml:space="preserve"> </w:t>
      </w:r>
      <w:r w:rsidRPr="00F02039">
        <w:rPr>
          <w:rFonts w:ascii="Garamond" w:hAnsi="Garamond"/>
          <w:b/>
          <w:lang w:val="en-GB"/>
        </w:rPr>
        <w:t>catalysts of the positive dynamic at the highest political level</w:t>
      </w:r>
      <w:r w:rsidRPr="00F02039">
        <w:rPr>
          <w:rFonts w:ascii="Garamond" w:hAnsi="Garamond"/>
          <w:lang w:val="en-GB"/>
        </w:rPr>
        <w:t>. Particularly, we hold that the statements should elaborate more in detail how (parts of) the activities aim at, to quote the Resolution once more, “maintaining the momentum and spirit of these positive developments”.</w:t>
      </w:r>
    </w:p>
    <w:sectPr w:rsidR="00D31FE0" w:rsidRPr="00F02039" w:rsidSect="001A0C8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5C9" w:rsidRDefault="007005C9" w:rsidP="00536E9F">
      <w:r>
        <w:separator/>
      </w:r>
    </w:p>
  </w:endnote>
  <w:endnote w:type="continuationSeparator" w:id="0">
    <w:p w:rsidR="007005C9" w:rsidRDefault="007005C9" w:rsidP="0053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2006112942"/>
      <w:docPartObj>
        <w:docPartGallery w:val="Page Numbers (Bottom of Page)"/>
        <w:docPartUnique/>
      </w:docPartObj>
    </w:sdtPr>
    <w:sdtEndPr/>
    <w:sdtContent>
      <w:p w:rsidR="004C3AC1" w:rsidRPr="00E510AD" w:rsidRDefault="004C3AC1">
        <w:pPr>
          <w:pStyle w:val="Fuzeile"/>
          <w:jc w:val="right"/>
          <w:rPr>
            <w:rFonts w:ascii="Garamond" w:hAnsi="Garamond"/>
            <w:sz w:val="20"/>
            <w:szCs w:val="20"/>
          </w:rPr>
        </w:pPr>
        <w:r w:rsidRPr="00E510AD">
          <w:rPr>
            <w:rFonts w:ascii="Garamond" w:hAnsi="Garamond"/>
            <w:sz w:val="20"/>
            <w:szCs w:val="20"/>
          </w:rPr>
          <w:fldChar w:fldCharType="begin"/>
        </w:r>
        <w:r w:rsidRPr="00E510AD">
          <w:rPr>
            <w:rFonts w:ascii="Garamond" w:hAnsi="Garamond"/>
            <w:sz w:val="20"/>
            <w:szCs w:val="20"/>
          </w:rPr>
          <w:instrText>PAGE   \* MERGEFORMAT</w:instrText>
        </w:r>
        <w:r w:rsidRPr="00E510AD">
          <w:rPr>
            <w:rFonts w:ascii="Garamond" w:hAnsi="Garamond"/>
            <w:sz w:val="20"/>
            <w:szCs w:val="20"/>
          </w:rPr>
          <w:fldChar w:fldCharType="separate"/>
        </w:r>
        <w:r w:rsidR="00E3366A">
          <w:rPr>
            <w:rFonts w:ascii="Garamond" w:hAnsi="Garamond"/>
            <w:noProof/>
            <w:sz w:val="20"/>
            <w:szCs w:val="20"/>
          </w:rPr>
          <w:t>2</w:t>
        </w:r>
        <w:r w:rsidRPr="00E510AD">
          <w:rPr>
            <w:rFonts w:ascii="Garamond" w:hAnsi="Garamond"/>
            <w:sz w:val="20"/>
            <w:szCs w:val="20"/>
          </w:rPr>
          <w:fldChar w:fldCharType="end"/>
        </w:r>
      </w:p>
    </w:sdtContent>
  </w:sdt>
  <w:p w:rsidR="004C3AC1" w:rsidRPr="00E510AD" w:rsidRDefault="004C3AC1">
    <w:pPr>
      <w:pStyle w:val="Fuzeile"/>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5C9" w:rsidRDefault="007005C9" w:rsidP="00536E9F">
      <w:r>
        <w:separator/>
      </w:r>
    </w:p>
  </w:footnote>
  <w:footnote w:type="continuationSeparator" w:id="0">
    <w:p w:rsidR="007005C9" w:rsidRDefault="007005C9" w:rsidP="00536E9F">
      <w:r>
        <w:continuationSeparator/>
      </w:r>
    </w:p>
  </w:footnote>
  <w:footnote w:id="1">
    <w:p w:rsidR="004C3AC1" w:rsidRDefault="004C3AC1" w:rsidP="00446CCD">
      <w:pPr>
        <w:pStyle w:val="Funotentext"/>
        <w:ind w:left="142" w:hanging="142"/>
        <w:jc w:val="both"/>
        <w:rPr>
          <w:rFonts w:ascii="Garamond" w:hAnsi="Garamond" w:cs="Verdana"/>
          <w:bCs/>
          <w:sz w:val="20"/>
          <w:szCs w:val="20"/>
          <w:lang w:val="en-GB"/>
        </w:rPr>
      </w:pPr>
      <w:r w:rsidRPr="0085060C">
        <w:rPr>
          <w:rStyle w:val="Funotenzeichen"/>
          <w:rFonts w:ascii="Garamond" w:hAnsi="Garamond"/>
          <w:sz w:val="20"/>
          <w:szCs w:val="20"/>
        </w:rPr>
        <w:sym w:font="Symbol" w:char="F02A"/>
      </w:r>
      <w:r w:rsidRPr="0085060C">
        <w:rPr>
          <w:rFonts w:ascii="Garamond" w:hAnsi="Garamond"/>
          <w:sz w:val="20"/>
          <w:szCs w:val="20"/>
          <w:lang w:val="en-US"/>
        </w:rPr>
        <w:t xml:space="preserve"> </w:t>
      </w:r>
      <w:r w:rsidRPr="0085060C">
        <w:rPr>
          <w:rFonts w:ascii="Garamond" w:hAnsi="Garamond" w:cs="Verdana"/>
          <w:bCs/>
          <w:sz w:val="20"/>
          <w:szCs w:val="20"/>
          <w:lang w:val="en-GB"/>
        </w:rPr>
        <w:t xml:space="preserve">The assessment and opinion expressed in this policy analysis are </w:t>
      </w:r>
      <w:r>
        <w:rPr>
          <w:rFonts w:ascii="Garamond" w:hAnsi="Garamond" w:cs="Verdana"/>
          <w:bCs/>
          <w:sz w:val="20"/>
          <w:szCs w:val="20"/>
          <w:lang w:val="en-GB"/>
        </w:rPr>
        <w:t xml:space="preserve">solely </w:t>
      </w:r>
      <w:r w:rsidRPr="0085060C">
        <w:rPr>
          <w:rFonts w:ascii="Garamond" w:hAnsi="Garamond" w:cs="Verdana"/>
          <w:bCs/>
          <w:sz w:val="20"/>
          <w:szCs w:val="20"/>
          <w:lang w:val="en-GB"/>
        </w:rPr>
        <w:t>those of the authors and neither necessarily reflect the official opinion of the SWP nor of the Baltic Sea Parliamentary Conference and its institutions.</w:t>
      </w:r>
    </w:p>
    <w:p w:rsidR="004C3AC1" w:rsidRPr="0085060C" w:rsidRDefault="004C3AC1" w:rsidP="00125FA5">
      <w:pPr>
        <w:pStyle w:val="Funotentext"/>
        <w:ind w:left="142" w:hanging="29"/>
        <w:jc w:val="both"/>
        <w:rPr>
          <w:rFonts w:ascii="Garamond" w:hAnsi="Garamond"/>
          <w:sz w:val="20"/>
          <w:szCs w:val="20"/>
          <w:lang w:val="en-US"/>
        </w:rPr>
      </w:pPr>
      <w:r>
        <w:rPr>
          <w:rFonts w:ascii="Garamond" w:hAnsi="Garamond" w:cs="Verdana"/>
          <w:bCs/>
          <w:sz w:val="20"/>
          <w:szCs w:val="20"/>
          <w:lang w:val="en-GB"/>
        </w:rPr>
        <w:t xml:space="preserve">Authors’ contact details: </w:t>
      </w:r>
      <w:hyperlink r:id="rId1" w:history="1">
        <w:r w:rsidRPr="00A85E14">
          <w:rPr>
            <w:rStyle w:val="Hyperlink"/>
            <w:rFonts w:ascii="Garamond" w:hAnsi="Garamond" w:cs="Verdana"/>
            <w:bCs/>
            <w:sz w:val="20"/>
            <w:szCs w:val="20"/>
            <w:lang w:val="en-GB"/>
          </w:rPr>
          <w:t>tobias.etzold@swp-berlin.org</w:t>
        </w:r>
      </w:hyperlink>
      <w:r>
        <w:rPr>
          <w:rFonts w:ascii="Garamond" w:hAnsi="Garamond" w:cs="Verdana"/>
          <w:bCs/>
          <w:sz w:val="20"/>
          <w:szCs w:val="20"/>
          <w:lang w:val="en-GB"/>
        </w:rPr>
        <w:t xml:space="preserve">, </w:t>
      </w:r>
      <w:hyperlink r:id="rId2" w:history="1">
        <w:r w:rsidRPr="00E768DE">
          <w:rPr>
            <w:rStyle w:val="Hyperlink"/>
            <w:rFonts w:ascii="Garamond" w:hAnsi="Garamond" w:cs="Verdana"/>
            <w:bCs/>
            <w:sz w:val="20"/>
            <w:szCs w:val="20"/>
            <w:lang w:val="en-GB"/>
          </w:rPr>
          <w:t>christian.opitz@swp-berlin.org</w:t>
        </w:r>
      </w:hyperlink>
      <w:r>
        <w:rPr>
          <w:rFonts w:ascii="Garamond" w:hAnsi="Garamond" w:cs="Verdana"/>
          <w:bCs/>
          <w:sz w:val="20"/>
          <w:szCs w:val="20"/>
          <w:lang w:val="en-GB"/>
        </w:rPr>
        <w:t xml:space="preserve">.  </w:t>
      </w:r>
    </w:p>
  </w:footnote>
  <w:footnote w:id="2">
    <w:p w:rsidR="004C3AC1" w:rsidRPr="0085060C" w:rsidRDefault="004C3AC1" w:rsidP="00446CCD">
      <w:pPr>
        <w:pStyle w:val="Funotentext"/>
        <w:ind w:left="113" w:hanging="113"/>
        <w:jc w:val="both"/>
        <w:rPr>
          <w:rFonts w:ascii="Garamond" w:hAnsi="Garamond"/>
          <w:sz w:val="20"/>
          <w:szCs w:val="20"/>
          <w:lang w:val="en-US"/>
        </w:rPr>
      </w:pPr>
      <w:r w:rsidRPr="0085060C">
        <w:rPr>
          <w:rStyle w:val="Funotenzeichen"/>
          <w:rFonts w:ascii="Garamond" w:hAnsi="Garamond"/>
          <w:sz w:val="20"/>
          <w:szCs w:val="20"/>
        </w:rPr>
        <w:footnoteRef/>
      </w:r>
      <w:r w:rsidRPr="0085060C">
        <w:rPr>
          <w:rFonts w:ascii="Garamond" w:hAnsi="Garamond"/>
          <w:sz w:val="20"/>
          <w:szCs w:val="20"/>
          <w:lang w:val="en-US"/>
        </w:rPr>
        <w:t xml:space="preserve"> </w:t>
      </w:r>
      <w:r w:rsidRPr="000D22ED">
        <w:rPr>
          <w:rFonts w:ascii="Garamond" w:hAnsi="Garamond"/>
          <w:sz w:val="20"/>
          <w:szCs w:val="20"/>
          <w:lang w:val="en-US"/>
        </w:rPr>
        <w:t>Baltic Assembly, Free Hanseatic City of Bremen, Denmark, Estonia, Federal Republic of Germany, Finland, Free and Hanseatic City of Hamburg, Iceland, Kaliningrad Region,</w:t>
      </w:r>
      <w:r>
        <w:rPr>
          <w:rFonts w:ascii="Garamond" w:hAnsi="Garamond"/>
          <w:sz w:val="20"/>
          <w:szCs w:val="20"/>
          <w:lang w:val="en-US"/>
        </w:rPr>
        <w:t xml:space="preserve"> Karelian Republic,</w:t>
      </w:r>
      <w:r w:rsidRPr="000D22ED">
        <w:rPr>
          <w:rFonts w:ascii="Garamond" w:hAnsi="Garamond"/>
          <w:sz w:val="20"/>
          <w:szCs w:val="20"/>
          <w:lang w:val="en-US"/>
        </w:rPr>
        <w:t xml:space="preserve"> Latvia,</w:t>
      </w:r>
      <w:r>
        <w:rPr>
          <w:rFonts w:ascii="Garamond" w:hAnsi="Garamond"/>
          <w:sz w:val="20"/>
          <w:szCs w:val="20"/>
          <w:lang w:val="en-US"/>
        </w:rPr>
        <w:t xml:space="preserve"> Leningrad Region,</w:t>
      </w:r>
      <w:r w:rsidRPr="000D22ED">
        <w:rPr>
          <w:rFonts w:ascii="Garamond" w:hAnsi="Garamond"/>
          <w:sz w:val="20"/>
          <w:szCs w:val="20"/>
          <w:lang w:val="en-US"/>
        </w:rPr>
        <w:t xml:space="preserve"> Mecklenburg-Vorpommern, Nordic Council, Norway, </w:t>
      </w:r>
      <w:r>
        <w:rPr>
          <w:rFonts w:ascii="Garamond" w:hAnsi="Garamond"/>
          <w:sz w:val="20"/>
          <w:szCs w:val="20"/>
          <w:lang w:val="en-US"/>
        </w:rPr>
        <w:t xml:space="preserve">Parliamentary Assembly of the Organization for Security and Cooperation in Europe (OSCE PA), </w:t>
      </w:r>
      <w:r w:rsidRPr="000D22ED">
        <w:rPr>
          <w:rFonts w:ascii="Garamond" w:hAnsi="Garamond"/>
          <w:sz w:val="20"/>
          <w:szCs w:val="20"/>
          <w:lang w:val="en-US"/>
        </w:rPr>
        <w:t xml:space="preserve">Poland, City of St. Petersburg, Federal Assembly of the Russian Federation, Schleswig-Holstein, Sweden, </w:t>
      </w:r>
      <w:proofErr w:type="spellStart"/>
      <w:r w:rsidRPr="000D22ED">
        <w:rPr>
          <w:rFonts w:ascii="Garamond" w:hAnsi="Garamond"/>
          <w:sz w:val="20"/>
          <w:szCs w:val="20"/>
          <w:lang w:val="en-US"/>
        </w:rPr>
        <w:t>Åland</w:t>
      </w:r>
      <w:proofErr w:type="spellEnd"/>
      <w:r w:rsidRPr="000D22ED">
        <w:rPr>
          <w:rFonts w:ascii="Garamond" w:hAnsi="Garamond"/>
          <w:sz w:val="20"/>
          <w:szCs w:val="20"/>
          <w:lang w:val="en-US"/>
        </w:rPr>
        <w:t xml:space="preserve"> Islands.</w:t>
      </w:r>
    </w:p>
  </w:footnote>
  <w:footnote w:id="3">
    <w:p w:rsidR="004C3AC1" w:rsidRPr="0085060C" w:rsidRDefault="004C3AC1" w:rsidP="00446CCD">
      <w:pPr>
        <w:pStyle w:val="Funotentext"/>
        <w:ind w:left="142" w:hanging="142"/>
        <w:jc w:val="both"/>
        <w:rPr>
          <w:rFonts w:ascii="Garamond" w:hAnsi="Garamond"/>
          <w:sz w:val="20"/>
          <w:szCs w:val="20"/>
          <w:lang w:val="en-US"/>
        </w:rPr>
      </w:pPr>
      <w:r w:rsidRPr="0085060C">
        <w:rPr>
          <w:rStyle w:val="Funotenzeichen"/>
          <w:rFonts w:ascii="Garamond" w:hAnsi="Garamond"/>
          <w:sz w:val="20"/>
          <w:szCs w:val="20"/>
        </w:rPr>
        <w:footnoteRef/>
      </w:r>
      <w:r w:rsidRPr="0085060C">
        <w:rPr>
          <w:rFonts w:ascii="Garamond" w:hAnsi="Garamond"/>
          <w:sz w:val="20"/>
          <w:szCs w:val="20"/>
          <w:lang w:val="en-US"/>
        </w:rPr>
        <w:t xml:space="preserve"> </w:t>
      </w:r>
      <w:r w:rsidRPr="000D22ED">
        <w:rPr>
          <w:rFonts w:ascii="Garamond" w:hAnsi="Garamond"/>
          <w:sz w:val="20"/>
          <w:szCs w:val="20"/>
          <w:lang w:val="en-US"/>
        </w:rPr>
        <w:t>Denmark, Estonia, Federal Republic of Germa</w:t>
      </w:r>
      <w:r>
        <w:rPr>
          <w:rFonts w:ascii="Garamond" w:hAnsi="Garamond"/>
          <w:sz w:val="20"/>
          <w:szCs w:val="20"/>
          <w:lang w:val="en-US"/>
        </w:rPr>
        <w:t xml:space="preserve">ny, Finland, </w:t>
      </w:r>
      <w:r w:rsidRPr="000D22ED">
        <w:rPr>
          <w:rFonts w:ascii="Garamond" w:hAnsi="Garamond"/>
          <w:sz w:val="20"/>
          <w:szCs w:val="20"/>
          <w:lang w:val="en-US"/>
        </w:rPr>
        <w:t>Free and Hanseatic City of Hamburg, Latvia, Lithuania, Mecklenburg-Vorpommern, Norway, Poland, Sweden</w:t>
      </w:r>
      <w:r>
        <w:rPr>
          <w:rFonts w:ascii="Garamond" w:hAnsi="Garamond"/>
          <w:sz w:val="20"/>
          <w:szCs w:val="20"/>
          <w:lang w:val="en-US"/>
        </w:rPr>
        <w:t xml:space="preserve"> and the</w:t>
      </w:r>
      <w:r w:rsidRPr="000D22ED">
        <w:rPr>
          <w:rFonts w:ascii="Garamond" w:hAnsi="Garamond"/>
          <w:sz w:val="20"/>
          <w:szCs w:val="20"/>
          <w:lang w:val="en-US"/>
        </w:rPr>
        <w:t xml:space="preserve"> </w:t>
      </w:r>
      <w:proofErr w:type="spellStart"/>
      <w:r w:rsidRPr="000D22ED">
        <w:rPr>
          <w:rFonts w:ascii="Garamond" w:hAnsi="Garamond"/>
          <w:sz w:val="20"/>
          <w:szCs w:val="20"/>
          <w:lang w:val="en-US"/>
        </w:rPr>
        <w:t>Åland</w:t>
      </w:r>
      <w:proofErr w:type="spellEnd"/>
      <w:r w:rsidRPr="000D22ED">
        <w:rPr>
          <w:rFonts w:ascii="Garamond" w:hAnsi="Garamond"/>
          <w:sz w:val="20"/>
          <w:szCs w:val="20"/>
          <w:lang w:val="en-US"/>
        </w:rPr>
        <w:t xml:space="preserve"> </w:t>
      </w:r>
      <w:r w:rsidRPr="00E510AD">
        <w:rPr>
          <w:rFonts w:ascii="Garamond" w:hAnsi="Garamond"/>
          <w:sz w:val="20"/>
          <w:szCs w:val="20"/>
          <w:lang w:val="en-US"/>
        </w:rPr>
        <w:t xml:space="preserve">Islands. The government of the Russian Federation submitted </w:t>
      </w:r>
      <w:r>
        <w:rPr>
          <w:rFonts w:ascii="Garamond" w:hAnsi="Garamond"/>
          <w:sz w:val="20"/>
          <w:szCs w:val="20"/>
          <w:lang w:val="en-US"/>
        </w:rPr>
        <w:t>one</w:t>
      </w:r>
      <w:r w:rsidRPr="00E510AD">
        <w:rPr>
          <w:rFonts w:ascii="Garamond" w:hAnsi="Garamond"/>
          <w:sz w:val="20"/>
          <w:szCs w:val="20"/>
          <w:lang w:val="en-US"/>
        </w:rPr>
        <w:t xml:space="preserve"> statement</w:t>
      </w:r>
      <w:r w:rsidR="00214F2F">
        <w:rPr>
          <w:rFonts w:ascii="Garamond" w:hAnsi="Garamond"/>
          <w:sz w:val="20"/>
          <w:szCs w:val="20"/>
          <w:lang w:val="en-US"/>
        </w:rPr>
        <w:t xml:space="preserve"> including annexes </w:t>
      </w:r>
      <w:r w:rsidRPr="00E510AD">
        <w:rPr>
          <w:rFonts w:ascii="Garamond" w:hAnsi="Garamond"/>
          <w:sz w:val="20"/>
          <w:szCs w:val="20"/>
          <w:lang w:val="en-US"/>
        </w:rPr>
        <w:t>on behalf of all Russian member delegations. The</w:t>
      </w:r>
      <w:r>
        <w:rPr>
          <w:rFonts w:ascii="Garamond" w:hAnsi="Garamond"/>
          <w:sz w:val="20"/>
          <w:szCs w:val="20"/>
          <w:lang w:val="en-US"/>
        </w:rPr>
        <w:t xml:space="preserve"> state government of Schleswig-Holstein </w:t>
      </w:r>
      <w:r w:rsidR="00E41817">
        <w:rPr>
          <w:rFonts w:ascii="Garamond" w:hAnsi="Garamond"/>
          <w:sz w:val="20"/>
          <w:szCs w:val="20"/>
          <w:lang w:val="en-US"/>
        </w:rPr>
        <w:t>annexed</w:t>
      </w:r>
      <w:r>
        <w:rPr>
          <w:rFonts w:ascii="Garamond" w:hAnsi="Garamond"/>
          <w:sz w:val="20"/>
          <w:szCs w:val="20"/>
          <w:lang w:val="en-US"/>
        </w:rPr>
        <w:t xml:space="preserve"> an assessment of the Resolution </w:t>
      </w:r>
      <w:r w:rsidR="00E41817">
        <w:rPr>
          <w:rFonts w:ascii="Garamond" w:hAnsi="Garamond"/>
          <w:sz w:val="20"/>
          <w:szCs w:val="20"/>
          <w:lang w:val="en-US"/>
        </w:rPr>
        <w:t>to</w:t>
      </w:r>
      <w:r>
        <w:rPr>
          <w:rFonts w:ascii="Garamond" w:hAnsi="Garamond"/>
          <w:sz w:val="20"/>
          <w:szCs w:val="20"/>
          <w:lang w:val="en-US"/>
        </w:rPr>
        <w:t xml:space="preserve"> its annual Report on Europe (</w:t>
      </w:r>
      <w:proofErr w:type="spellStart"/>
      <w:r w:rsidRPr="00E510AD">
        <w:rPr>
          <w:rFonts w:ascii="Garamond" w:hAnsi="Garamond"/>
          <w:i/>
          <w:sz w:val="20"/>
          <w:szCs w:val="20"/>
          <w:lang w:val="en-US"/>
        </w:rPr>
        <w:t>Europabericht</w:t>
      </w:r>
      <w:proofErr w:type="spellEnd"/>
      <w:r>
        <w:rPr>
          <w:rFonts w:ascii="Garamond" w:hAnsi="Garamond"/>
          <w:sz w:val="20"/>
          <w:szCs w:val="20"/>
          <w:lang w:val="en-US"/>
        </w:rPr>
        <w:t>) 2017-18 of March 2018 (Doc. No. 19/985).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1D6F"/>
    <w:multiLevelType w:val="hybridMultilevel"/>
    <w:tmpl w:val="DFE28B70"/>
    <w:lvl w:ilvl="0" w:tplc="E16C6FAE">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6307CB"/>
    <w:multiLevelType w:val="hybridMultilevel"/>
    <w:tmpl w:val="52F627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6A3A65"/>
    <w:multiLevelType w:val="multilevel"/>
    <w:tmpl w:val="C944CE1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3A0D4DA5"/>
    <w:multiLevelType w:val="multilevel"/>
    <w:tmpl w:val="C944CE1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3FD4784A"/>
    <w:multiLevelType w:val="hybridMultilevel"/>
    <w:tmpl w:val="E338729C"/>
    <w:lvl w:ilvl="0" w:tplc="EA04431C">
      <w:start w:val="1"/>
      <w:numFmt w:val="bullet"/>
      <w:lvlText w:val="-"/>
      <w:lvlJc w:val="left"/>
      <w:pPr>
        <w:ind w:left="720" w:hanging="360"/>
      </w:pPr>
      <w:rPr>
        <w:rFonts w:ascii="Cambria" w:eastAsia="Times New Roman" w:hAnsi="Cambri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FA4DEB"/>
    <w:multiLevelType w:val="hybridMultilevel"/>
    <w:tmpl w:val="D4704ACA"/>
    <w:lvl w:ilvl="0" w:tplc="E16C6FAE">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044074"/>
    <w:multiLevelType w:val="hybridMultilevel"/>
    <w:tmpl w:val="FED86DAE"/>
    <w:lvl w:ilvl="0" w:tplc="E16C6FAE">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D9774C"/>
    <w:multiLevelType w:val="hybridMultilevel"/>
    <w:tmpl w:val="C4326F70"/>
    <w:lvl w:ilvl="0" w:tplc="EA04431C">
      <w:start w:val="1"/>
      <w:numFmt w:val="bullet"/>
      <w:lvlText w:val="-"/>
      <w:lvlJc w:val="left"/>
      <w:pPr>
        <w:ind w:left="720" w:hanging="360"/>
      </w:pPr>
      <w:rPr>
        <w:rFonts w:ascii="Cambria" w:eastAsia="Times New Roman" w:hAnsi="Cambri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CF08DD"/>
    <w:multiLevelType w:val="multilevel"/>
    <w:tmpl w:val="C944CE1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15:restartNumberingAfterBreak="0">
    <w:nsid w:val="5F8E2000"/>
    <w:multiLevelType w:val="hybridMultilevel"/>
    <w:tmpl w:val="CA268D1E"/>
    <w:lvl w:ilvl="0" w:tplc="E16C6FAE">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560193"/>
    <w:multiLevelType w:val="hybridMultilevel"/>
    <w:tmpl w:val="C92AC708"/>
    <w:lvl w:ilvl="0" w:tplc="35BA6896">
      <w:start w:val="3"/>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DD6615"/>
    <w:multiLevelType w:val="hybridMultilevel"/>
    <w:tmpl w:val="6B9CDC90"/>
    <w:lvl w:ilvl="0" w:tplc="88269902">
      <w:start w:val="1"/>
      <w:numFmt w:val="decimal"/>
      <w:lvlText w:val="%1)"/>
      <w:lvlJc w:val="left"/>
      <w:pPr>
        <w:ind w:left="720" w:hanging="360"/>
      </w:pPr>
      <w:rPr>
        <w:rFonts w:ascii="Garamond" w:hAnsi="Garamond"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093FAC"/>
    <w:multiLevelType w:val="hybridMultilevel"/>
    <w:tmpl w:val="B9325A18"/>
    <w:lvl w:ilvl="0" w:tplc="EA04431C">
      <w:start w:val="1"/>
      <w:numFmt w:val="bullet"/>
      <w:lvlText w:val="-"/>
      <w:lvlJc w:val="left"/>
      <w:pPr>
        <w:ind w:left="720" w:hanging="360"/>
      </w:pPr>
      <w:rPr>
        <w:rFonts w:ascii="Cambria" w:eastAsia="Times New Roman" w:hAnsi="Cambria"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1"/>
  </w:num>
  <w:num w:numId="5">
    <w:abstractNumId w:val="9"/>
  </w:num>
  <w:num w:numId="6">
    <w:abstractNumId w:val="5"/>
  </w:num>
  <w:num w:numId="7">
    <w:abstractNumId w:val="0"/>
  </w:num>
  <w:num w:numId="8">
    <w:abstractNumId w:val="1"/>
  </w:num>
  <w:num w:numId="9">
    <w:abstractNumId w:val="3"/>
  </w:num>
  <w:num w:numId="10">
    <w:abstractNumId w:val="2"/>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521D"/>
    <w:rsid w:val="0000255A"/>
    <w:rsid w:val="00045F75"/>
    <w:rsid w:val="000608A4"/>
    <w:rsid w:val="00067C2E"/>
    <w:rsid w:val="000846E9"/>
    <w:rsid w:val="000A43F9"/>
    <w:rsid w:val="000A5636"/>
    <w:rsid w:val="000A5C22"/>
    <w:rsid w:val="000B31A1"/>
    <w:rsid w:val="000B6FC2"/>
    <w:rsid w:val="000B749C"/>
    <w:rsid w:val="000D22ED"/>
    <w:rsid w:val="000D3718"/>
    <w:rsid w:val="000E6316"/>
    <w:rsid w:val="000F1CE7"/>
    <w:rsid w:val="000F1E6C"/>
    <w:rsid w:val="000F4549"/>
    <w:rsid w:val="000F457E"/>
    <w:rsid w:val="00104C80"/>
    <w:rsid w:val="00107505"/>
    <w:rsid w:val="00112F2A"/>
    <w:rsid w:val="00117949"/>
    <w:rsid w:val="00123685"/>
    <w:rsid w:val="00125FA5"/>
    <w:rsid w:val="001261FD"/>
    <w:rsid w:val="00151C3C"/>
    <w:rsid w:val="00155DB7"/>
    <w:rsid w:val="001577D4"/>
    <w:rsid w:val="00175277"/>
    <w:rsid w:val="001867D4"/>
    <w:rsid w:val="00191915"/>
    <w:rsid w:val="001A0C80"/>
    <w:rsid w:val="001A337F"/>
    <w:rsid w:val="001B4306"/>
    <w:rsid w:val="001D1BFD"/>
    <w:rsid w:val="001D26E4"/>
    <w:rsid w:val="001D4A8F"/>
    <w:rsid w:val="001E3A88"/>
    <w:rsid w:val="001F2E29"/>
    <w:rsid w:val="001F4C3C"/>
    <w:rsid w:val="001F7050"/>
    <w:rsid w:val="002025F9"/>
    <w:rsid w:val="00207468"/>
    <w:rsid w:val="00212CA0"/>
    <w:rsid w:val="00214F2F"/>
    <w:rsid w:val="00220F3F"/>
    <w:rsid w:val="00222CC9"/>
    <w:rsid w:val="002337FA"/>
    <w:rsid w:val="00260086"/>
    <w:rsid w:val="00273E71"/>
    <w:rsid w:val="002906B0"/>
    <w:rsid w:val="002A1846"/>
    <w:rsid w:val="002B15D6"/>
    <w:rsid w:val="002B610C"/>
    <w:rsid w:val="002C6C88"/>
    <w:rsid w:val="002D1BDE"/>
    <w:rsid w:val="002F6C65"/>
    <w:rsid w:val="00310378"/>
    <w:rsid w:val="003572D7"/>
    <w:rsid w:val="00365433"/>
    <w:rsid w:val="00370097"/>
    <w:rsid w:val="00372887"/>
    <w:rsid w:val="00374D5E"/>
    <w:rsid w:val="003D3A9C"/>
    <w:rsid w:val="003D7DB2"/>
    <w:rsid w:val="003F05E6"/>
    <w:rsid w:val="003F2F6D"/>
    <w:rsid w:val="00410CE5"/>
    <w:rsid w:val="00441695"/>
    <w:rsid w:val="00441AAA"/>
    <w:rsid w:val="00445D84"/>
    <w:rsid w:val="00446CCD"/>
    <w:rsid w:val="00446EC7"/>
    <w:rsid w:val="004506F1"/>
    <w:rsid w:val="00471BB6"/>
    <w:rsid w:val="004736CA"/>
    <w:rsid w:val="00486E34"/>
    <w:rsid w:val="004917C2"/>
    <w:rsid w:val="00492709"/>
    <w:rsid w:val="00496BF0"/>
    <w:rsid w:val="004A52BA"/>
    <w:rsid w:val="004B5305"/>
    <w:rsid w:val="004C28C5"/>
    <w:rsid w:val="004C3AC1"/>
    <w:rsid w:val="004D3683"/>
    <w:rsid w:val="004E2F5F"/>
    <w:rsid w:val="004E2FE4"/>
    <w:rsid w:val="004F17EE"/>
    <w:rsid w:val="004F1A5D"/>
    <w:rsid w:val="004F3164"/>
    <w:rsid w:val="0050072D"/>
    <w:rsid w:val="00507C2A"/>
    <w:rsid w:val="0053361E"/>
    <w:rsid w:val="005338FA"/>
    <w:rsid w:val="00534B16"/>
    <w:rsid w:val="00536E9F"/>
    <w:rsid w:val="00542341"/>
    <w:rsid w:val="0054435B"/>
    <w:rsid w:val="005622E8"/>
    <w:rsid w:val="00591B8F"/>
    <w:rsid w:val="005A38EF"/>
    <w:rsid w:val="005A521D"/>
    <w:rsid w:val="005A5A9C"/>
    <w:rsid w:val="005B120D"/>
    <w:rsid w:val="005B6E7B"/>
    <w:rsid w:val="005C6830"/>
    <w:rsid w:val="005D72A9"/>
    <w:rsid w:val="005E06C6"/>
    <w:rsid w:val="005E46AF"/>
    <w:rsid w:val="005F7EC8"/>
    <w:rsid w:val="00606481"/>
    <w:rsid w:val="0061332D"/>
    <w:rsid w:val="006176D8"/>
    <w:rsid w:val="00635DF3"/>
    <w:rsid w:val="006434BE"/>
    <w:rsid w:val="00643D0B"/>
    <w:rsid w:val="006743DC"/>
    <w:rsid w:val="006A0A19"/>
    <w:rsid w:val="006B6EB9"/>
    <w:rsid w:val="006C6D0A"/>
    <w:rsid w:val="006E0164"/>
    <w:rsid w:val="007005C9"/>
    <w:rsid w:val="0070462D"/>
    <w:rsid w:val="00710CB6"/>
    <w:rsid w:val="00724DF0"/>
    <w:rsid w:val="0074539C"/>
    <w:rsid w:val="0074617A"/>
    <w:rsid w:val="00747B47"/>
    <w:rsid w:val="00754421"/>
    <w:rsid w:val="00754BBE"/>
    <w:rsid w:val="00761468"/>
    <w:rsid w:val="00784547"/>
    <w:rsid w:val="007872CE"/>
    <w:rsid w:val="00790DAE"/>
    <w:rsid w:val="0079750E"/>
    <w:rsid w:val="007A261B"/>
    <w:rsid w:val="007A2FE3"/>
    <w:rsid w:val="007A3C8F"/>
    <w:rsid w:val="007A49F3"/>
    <w:rsid w:val="007B1D9C"/>
    <w:rsid w:val="007B24AA"/>
    <w:rsid w:val="007B3153"/>
    <w:rsid w:val="007C5D0E"/>
    <w:rsid w:val="008028D7"/>
    <w:rsid w:val="00803EFC"/>
    <w:rsid w:val="00816B36"/>
    <w:rsid w:val="00817552"/>
    <w:rsid w:val="008306AB"/>
    <w:rsid w:val="00832142"/>
    <w:rsid w:val="00834D8B"/>
    <w:rsid w:val="00841159"/>
    <w:rsid w:val="008504E9"/>
    <w:rsid w:val="0085060C"/>
    <w:rsid w:val="00850AE6"/>
    <w:rsid w:val="00852A3E"/>
    <w:rsid w:val="00857668"/>
    <w:rsid w:val="008627E7"/>
    <w:rsid w:val="00866956"/>
    <w:rsid w:val="00866F2C"/>
    <w:rsid w:val="00877D9B"/>
    <w:rsid w:val="0089044A"/>
    <w:rsid w:val="00890AB2"/>
    <w:rsid w:val="008A068F"/>
    <w:rsid w:val="008A5A4D"/>
    <w:rsid w:val="008C22DC"/>
    <w:rsid w:val="008C48D5"/>
    <w:rsid w:val="008D3EC5"/>
    <w:rsid w:val="008D4652"/>
    <w:rsid w:val="008E6B5B"/>
    <w:rsid w:val="008E7F8D"/>
    <w:rsid w:val="008F01B4"/>
    <w:rsid w:val="0090635E"/>
    <w:rsid w:val="00927D8C"/>
    <w:rsid w:val="0093201B"/>
    <w:rsid w:val="00940C99"/>
    <w:rsid w:val="009451FE"/>
    <w:rsid w:val="0095269E"/>
    <w:rsid w:val="00964E04"/>
    <w:rsid w:val="00966DD1"/>
    <w:rsid w:val="009758C0"/>
    <w:rsid w:val="009B4301"/>
    <w:rsid w:val="009B64A6"/>
    <w:rsid w:val="009C6BA0"/>
    <w:rsid w:val="009D7F9D"/>
    <w:rsid w:val="009F0B17"/>
    <w:rsid w:val="009F4424"/>
    <w:rsid w:val="009F459A"/>
    <w:rsid w:val="009F479B"/>
    <w:rsid w:val="009F6146"/>
    <w:rsid w:val="00A1384F"/>
    <w:rsid w:val="00A1570F"/>
    <w:rsid w:val="00A413E9"/>
    <w:rsid w:val="00A4626E"/>
    <w:rsid w:val="00A53EC8"/>
    <w:rsid w:val="00A53FC9"/>
    <w:rsid w:val="00A61D85"/>
    <w:rsid w:val="00A66A79"/>
    <w:rsid w:val="00A70BE7"/>
    <w:rsid w:val="00A73A6C"/>
    <w:rsid w:val="00A7693C"/>
    <w:rsid w:val="00A86FFC"/>
    <w:rsid w:val="00A8724C"/>
    <w:rsid w:val="00A91D78"/>
    <w:rsid w:val="00AA748E"/>
    <w:rsid w:val="00AD07AD"/>
    <w:rsid w:val="00AD44E0"/>
    <w:rsid w:val="00AE0EB3"/>
    <w:rsid w:val="00AE4B6E"/>
    <w:rsid w:val="00AE5F9F"/>
    <w:rsid w:val="00B128E0"/>
    <w:rsid w:val="00B56EFC"/>
    <w:rsid w:val="00B649CC"/>
    <w:rsid w:val="00B908A5"/>
    <w:rsid w:val="00BA51D4"/>
    <w:rsid w:val="00BB6F85"/>
    <w:rsid w:val="00BC61DB"/>
    <w:rsid w:val="00BD28A8"/>
    <w:rsid w:val="00BD2D18"/>
    <w:rsid w:val="00BE4021"/>
    <w:rsid w:val="00BE4EEE"/>
    <w:rsid w:val="00BF1104"/>
    <w:rsid w:val="00BF619C"/>
    <w:rsid w:val="00C14774"/>
    <w:rsid w:val="00C15B1A"/>
    <w:rsid w:val="00C20458"/>
    <w:rsid w:val="00C206F3"/>
    <w:rsid w:val="00C2187C"/>
    <w:rsid w:val="00C24E76"/>
    <w:rsid w:val="00C2531E"/>
    <w:rsid w:val="00C41484"/>
    <w:rsid w:val="00C519B2"/>
    <w:rsid w:val="00C61C38"/>
    <w:rsid w:val="00C63259"/>
    <w:rsid w:val="00C71A09"/>
    <w:rsid w:val="00C80E92"/>
    <w:rsid w:val="00CA006B"/>
    <w:rsid w:val="00CB1DA4"/>
    <w:rsid w:val="00CB5F45"/>
    <w:rsid w:val="00CC5855"/>
    <w:rsid w:val="00CD2025"/>
    <w:rsid w:val="00CD7EB4"/>
    <w:rsid w:val="00CF2A1B"/>
    <w:rsid w:val="00CF7A5D"/>
    <w:rsid w:val="00D01A40"/>
    <w:rsid w:val="00D0510E"/>
    <w:rsid w:val="00D15365"/>
    <w:rsid w:val="00D31FE0"/>
    <w:rsid w:val="00D34DAE"/>
    <w:rsid w:val="00D65BB4"/>
    <w:rsid w:val="00D667F4"/>
    <w:rsid w:val="00D82700"/>
    <w:rsid w:val="00D86F97"/>
    <w:rsid w:val="00D911C9"/>
    <w:rsid w:val="00D97D7B"/>
    <w:rsid w:val="00DB3308"/>
    <w:rsid w:val="00DB4623"/>
    <w:rsid w:val="00DB4736"/>
    <w:rsid w:val="00DD513A"/>
    <w:rsid w:val="00DE1C80"/>
    <w:rsid w:val="00DE74C7"/>
    <w:rsid w:val="00DF0367"/>
    <w:rsid w:val="00DF78FF"/>
    <w:rsid w:val="00E04E22"/>
    <w:rsid w:val="00E04EBF"/>
    <w:rsid w:val="00E12297"/>
    <w:rsid w:val="00E22A83"/>
    <w:rsid w:val="00E3366A"/>
    <w:rsid w:val="00E41817"/>
    <w:rsid w:val="00E45365"/>
    <w:rsid w:val="00E510AD"/>
    <w:rsid w:val="00E60506"/>
    <w:rsid w:val="00E768DE"/>
    <w:rsid w:val="00E91035"/>
    <w:rsid w:val="00EA22D4"/>
    <w:rsid w:val="00EA3F0A"/>
    <w:rsid w:val="00EA4C89"/>
    <w:rsid w:val="00EE568A"/>
    <w:rsid w:val="00EE7E40"/>
    <w:rsid w:val="00F104B6"/>
    <w:rsid w:val="00F12649"/>
    <w:rsid w:val="00F13C54"/>
    <w:rsid w:val="00F14FF0"/>
    <w:rsid w:val="00F26B04"/>
    <w:rsid w:val="00F36F00"/>
    <w:rsid w:val="00F378AC"/>
    <w:rsid w:val="00F50B46"/>
    <w:rsid w:val="00F609F6"/>
    <w:rsid w:val="00F70A9F"/>
    <w:rsid w:val="00F76E04"/>
    <w:rsid w:val="00F8729F"/>
    <w:rsid w:val="00FA7225"/>
    <w:rsid w:val="00FB05FC"/>
    <w:rsid w:val="00FC17CC"/>
    <w:rsid w:val="00FD1E9F"/>
    <w:rsid w:val="00FE3D6A"/>
    <w:rsid w:val="00FE6E95"/>
    <w:rsid w:val="00FF077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B140"/>
  <w15:docId w15:val="{74F9B9AD-15DC-4E52-87B5-E019DEC5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22ED"/>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521D"/>
    <w:pPr>
      <w:ind w:left="720"/>
      <w:contextualSpacing/>
    </w:pPr>
  </w:style>
  <w:style w:type="paragraph" w:styleId="Kopfzeile">
    <w:name w:val="header"/>
    <w:basedOn w:val="Standard"/>
    <w:link w:val="KopfzeileZchn"/>
    <w:uiPriority w:val="99"/>
    <w:unhideWhenUsed/>
    <w:rsid w:val="00536E9F"/>
    <w:pPr>
      <w:tabs>
        <w:tab w:val="center" w:pos="4536"/>
        <w:tab w:val="right" w:pos="9072"/>
      </w:tabs>
    </w:pPr>
  </w:style>
  <w:style w:type="character" w:customStyle="1" w:styleId="KopfzeileZchn">
    <w:name w:val="Kopfzeile Zchn"/>
    <w:basedOn w:val="Absatz-Standardschriftart"/>
    <w:link w:val="Kopfzeile"/>
    <w:uiPriority w:val="99"/>
    <w:rsid w:val="00536E9F"/>
    <w:rPr>
      <w:sz w:val="24"/>
      <w:szCs w:val="24"/>
    </w:rPr>
  </w:style>
  <w:style w:type="paragraph" w:styleId="Fuzeile">
    <w:name w:val="footer"/>
    <w:basedOn w:val="Standard"/>
    <w:link w:val="FuzeileZchn"/>
    <w:uiPriority w:val="99"/>
    <w:unhideWhenUsed/>
    <w:rsid w:val="00536E9F"/>
    <w:pPr>
      <w:tabs>
        <w:tab w:val="center" w:pos="4536"/>
        <w:tab w:val="right" w:pos="9072"/>
      </w:tabs>
    </w:pPr>
  </w:style>
  <w:style w:type="character" w:customStyle="1" w:styleId="FuzeileZchn">
    <w:name w:val="Fußzeile Zchn"/>
    <w:basedOn w:val="Absatz-Standardschriftart"/>
    <w:link w:val="Fuzeile"/>
    <w:uiPriority w:val="99"/>
    <w:rsid w:val="00536E9F"/>
    <w:rPr>
      <w:sz w:val="24"/>
      <w:szCs w:val="24"/>
    </w:rPr>
  </w:style>
  <w:style w:type="character" w:styleId="Funotenzeichen">
    <w:name w:val="footnote reference"/>
    <w:aliases w:val="Footnote Reference Superscript,Footnote Reference Number,ftref,Footnote symbol,BVI fnr,Footnote symboFußnotenzeichen,Footnote sign,Footnote Reference text,Footnote reference number,note TESI,Footnote Refernece,EN Footnote Reference"/>
    <w:basedOn w:val="Absatz-Standardschriftart"/>
    <w:uiPriority w:val="99"/>
    <w:unhideWhenUsed/>
    <w:rsid w:val="00536E9F"/>
    <w:rPr>
      <w:vertAlign w:val="superscript"/>
    </w:rPr>
  </w:style>
  <w:style w:type="paragraph" w:customStyle="1" w:styleId="Default">
    <w:name w:val="Default"/>
    <w:rsid w:val="00536E9F"/>
    <w:pPr>
      <w:widowControl w:val="0"/>
      <w:autoSpaceDE w:val="0"/>
      <w:autoSpaceDN w:val="0"/>
      <w:adjustRightInd w:val="0"/>
      <w:spacing w:after="0" w:line="240" w:lineRule="auto"/>
    </w:pPr>
    <w:rPr>
      <w:rFonts w:ascii="Verdana" w:hAnsi="Verdana" w:cs="Verdana"/>
      <w:color w:val="000000"/>
      <w:sz w:val="24"/>
      <w:szCs w:val="24"/>
    </w:rPr>
  </w:style>
  <w:style w:type="table" w:styleId="Tabellenraster">
    <w:name w:val="Table Grid"/>
    <w:basedOn w:val="NormaleTabelle"/>
    <w:uiPriority w:val="39"/>
    <w:rsid w:val="001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07C2A"/>
  </w:style>
  <w:style w:type="character" w:customStyle="1" w:styleId="FunotentextZchn">
    <w:name w:val="Fußnotentext Zchn"/>
    <w:basedOn w:val="Absatz-Standardschriftart"/>
    <w:link w:val="Funotentext"/>
    <w:uiPriority w:val="99"/>
    <w:semiHidden/>
    <w:rsid w:val="00507C2A"/>
    <w:rPr>
      <w:sz w:val="24"/>
      <w:szCs w:val="24"/>
    </w:rPr>
  </w:style>
  <w:style w:type="paragraph" w:styleId="Endnotentext">
    <w:name w:val="endnote text"/>
    <w:basedOn w:val="Standard"/>
    <w:link w:val="EndnotentextZchn"/>
    <w:rsid w:val="00507C2A"/>
  </w:style>
  <w:style w:type="character" w:customStyle="1" w:styleId="EndnotentextZchn">
    <w:name w:val="Endnotentext Zchn"/>
    <w:basedOn w:val="Absatz-Standardschriftart"/>
    <w:link w:val="Endnotentext"/>
    <w:rsid w:val="00507C2A"/>
    <w:rPr>
      <w:sz w:val="24"/>
      <w:szCs w:val="24"/>
    </w:rPr>
  </w:style>
  <w:style w:type="character" w:styleId="Endnotenzeichen">
    <w:name w:val="endnote reference"/>
    <w:basedOn w:val="Absatz-Standardschriftart"/>
    <w:rsid w:val="00507C2A"/>
    <w:rPr>
      <w:vertAlign w:val="superscript"/>
    </w:rPr>
  </w:style>
  <w:style w:type="character" w:styleId="Kommentarzeichen">
    <w:name w:val="annotation reference"/>
    <w:basedOn w:val="Absatz-Standardschriftart"/>
    <w:uiPriority w:val="99"/>
    <w:semiHidden/>
    <w:unhideWhenUsed/>
    <w:rsid w:val="00F70A9F"/>
    <w:rPr>
      <w:sz w:val="16"/>
      <w:szCs w:val="16"/>
    </w:rPr>
  </w:style>
  <w:style w:type="paragraph" w:styleId="Kommentartext">
    <w:name w:val="annotation text"/>
    <w:basedOn w:val="Standard"/>
    <w:link w:val="KommentartextZchn"/>
    <w:uiPriority w:val="99"/>
    <w:semiHidden/>
    <w:unhideWhenUsed/>
    <w:rsid w:val="00F70A9F"/>
    <w:rPr>
      <w:sz w:val="20"/>
      <w:szCs w:val="20"/>
    </w:rPr>
  </w:style>
  <w:style w:type="character" w:customStyle="1" w:styleId="KommentartextZchn">
    <w:name w:val="Kommentartext Zchn"/>
    <w:basedOn w:val="Absatz-Standardschriftart"/>
    <w:link w:val="Kommentartext"/>
    <w:uiPriority w:val="99"/>
    <w:semiHidden/>
    <w:rsid w:val="00F70A9F"/>
    <w:rPr>
      <w:sz w:val="20"/>
      <w:szCs w:val="20"/>
    </w:rPr>
  </w:style>
  <w:style w:type="paragraph" w:styleId="Kommentarthema">
    <w:name w:val="annotation subject"/>
    <w:basedOn w:val="Kommentartext"/>
    <w:next w:val="Kommentartext"/>
    <w:link w:val="KommentarthemaZchn"/>
    <w:uiPriority w:val="99"/>
    <w:semiHidden/>
    <w:unhideWhenUsed/>
    <w:rsid w:val="00F70A9F"/>
    <w:rPr>
      <w:b/>
      <w:bCs/>
    </w:rPr>
  </w:style>
  <w:style w:type="character" w:customStyle="1" w:styleId="KommentarthemaZchn">
    <w:name w:val="Kommentarthema Zchn"/>
    <w:basedOn w:val="KommentartextZchn"/>
    <w:link w:val="Kommentarthema"/>
    <w:uiPriority w:val="99"/>
    <w:semiHidden/>
    <w:rsid w:val="00F70A9F"/>
    <w:rPr>
      <w:b/>
      <w:bCs/>
      <w:sz w:val="20"/>
      <w:szCs w:val="20"/>
    </w:rPr>
  </w:style>
  <w:style w:type="paragraph" w:styleId="Sprechblasentext">
    <w:name w:val="Balloon Text"/>
    <w:basedOn w:val="Standard"/>
    <w:link w:val="SprechblasentextZchn"/>
    <w:uiPriority w:val="99"/>
    <w:semiHidden/>
    <w:unhideWhenUsed/>
    <w:rsid w:val="00F70A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0A9F"/>
    <w:rPr>
      <w:rFonts w:ascii="Segoe UI" w:hAnsi="Segoe UI" w:cs="Segoe UI"/>
      <w:sz w:val="18"/>
      <w:szCs w:val="18"/>
    </w:rPr>
  </w:style>
  <w:style w:type="paragraph" w:styleId="berarbeitung">
    <w:name w:val="Revision"/>
    <w:hidden/>
    <w:uiPriority w:val="99"/>
    <w:semiHidden/>
    <w:rsid w:val="004506F1"/>
    <w:pPr>
      <w:spacing w:after="0" w:line="240" w:lineRule="auto"/>
    </w:pPr>
    <w:rPr>
      <w:sz w:val="24"/>
      <w:szCs w:val="24"/>
    </w:rPr>
  </w:style>
  <w:style w:type="paragraph" w:styleId="KeinLeerraum">
    <w:name w:val="No Spacing"/>
    <w:uiPriority w:val="1"/>
    <w:qFormat/>
    <w:rsid w:val="001B4306"/>
    <w:pPr>
      <w:spacing w:after="0" w:line="240" w:lineRule="auto"/>
    </w:pPr>
    <w:rPr>
      <w:sz w:val="24"/>
      <w:szCs w:val="24"/>
    </w:rPr>
  </w:style>
  <w:style w:type="character" w:styleId="Hyperlink">
    <w:name w:val="Hyperlink"/>
    <w:basedOn w:val="Absatz-Standardschriftart"/>
    <w:uiPriority w:val="99"/>
    <w:unhideWhenUsed/>
    <w:rsid w:val="00125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christian.opitz@swp-berlin.org" TargetMode="External"/><Relationship Id="rId1" Type="http://schemas.openxmlformats.org/officeDocument/2006/relationships/hyperlink" Target="mailto:tobias.etzold@swp-berlin.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baseline="0">
                <a:solidFill>
                  <a:schemeClr val="tx1">
                    <a:lumMod val="65000"/>
                    <a:lumOff val="35000"/>
                  </a:schemeClr>
                </a:solidFill>
                <a:latin typeface="+mn-lt"/>
                <a:ea typeface="+mn-ea"/>
                <a:cs typeface="+mn-cs"/>
              </a:defRPr>
            </a:pPr>
            <a:r>
              <a:rPr lang="en-US" sz="1100" cap="none" baseline="0">
                <a:latin typeface="Garamond" panose="02020404030301010803" pitchFamily="18" charset="0"/>
              </a:rPr>
              <a:t>Fig. 1 Overall Response Rate to the BSCP Standing Committee</a:t>
            </a:r>
          </a:p>
        </c:rich>
      </c:tx>
      <c:overlay val="0"/>
      <c:spPr>
        <a:noFill/>
        <a:ln>
          <a:noFill/>
        </a:ln>
        <a:effectLst/>
      </c:spPr>
    </c:title>
    <c:autoTitleDeleted val="0"/>
    <c:plotArea>
      <c:layout/>
      <c:pieChart>
        <c:varyColors val="1"/>
        <c:ser>
          <c:idx val="0"/>
          <c:order val="0"/>
          <c:tx>
            <c:strRef>
              <c:f>Tabelle1!$B$1</c:f>
              <c:strCache>
                <c:ptCount val="1"/>
                <c:pt idx="0">
                  <c:v>Response rate</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0-9E8C-49BC-B713-AA583DF6300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E8C-49BC-B713-AA583DF6300C}"/>
              </c:ext>
            </c:extLst>
          </c:dPt>
          <c:dLbls>
            <c:dLbl>
              <c:idx val="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rgbClr val="5B9BD5"/>
                      </a:solidFill>
                      <a:latin typeface="+mn-lt"/>
                      <a:ea typeface="+mn-ea"/>
                      <a:cs typeface="+mn-cs"/>
                    </a:defRPr>
                  </a:pPr>
                  <a:endParaRPr lang="de-DE"/>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0-9E8C-49BC-B713-AA583DF6300C}"/>
                </c:ext>
              </c:extLst>
            </c:dLbl>
            <c:dLbl>
              <c:idx val="1"/>
              <c:numFmt formatCode="General" sourceLinked="0"/>
              <c:spPr>
                <a:solidFill>
                  <a:sysClr val="window" lastClr="FFFFFF"/>
                </a:solidFill>
                <a:ln>
                  <a:solidFill>
                    <a:srgbClr val="ED7D3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de-DE"/>
                </a:p>
              </c:txPr>
              <c:showLegendKey val="0"/>
              <c:showVal val="0"/>
              <c:showCatName val="1"/>
              <c:showSerName val="0"/>
              <c:showPercent val="1"/>
              <c:showBubbleSize val="0"/>
              <c:extLst>
                <c:ext xmlns:c16="http://schemas.microsoft.com/office/drawing/2014/chart" uri="{C3380CC4-5D6E-409C-BE32-E72D297353CC}">
                  <c16:uniqueId val="{00000001-9E8C-49BC-B713-AA583DF6300C}"/>
                </c:ext>
              </c:extLst>
            </c:dLbl>
            <c:spPr>
              <a:solidFill>
                <a:sysClr val="window" lastClr="FFFFFF"/>
              </a:solidFill>
              <a:ln>
                <a:solidFill>
                  <a:srgbClr val="5B9BD5"/>
                </a:solidFill>
              </a:ln>
              <a:effectLst/>
            </c:sp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Tabelle1!$A$2:$A$3</c:f>
              <c:strCache>
                <c:ptCount val="2"/>
                <c:pt idx="0">
                  <c:v>No statement submitted</c:v>
                </c:pt>
                <c:pt idx="1">
                  <c:v>Statement submitted</c:v>
                </c:pt>
              </c:strCache>
            </c:strRef>
          </c:cat>
          <c:val>
            <c:numRef>
              <c:f>Tabelle1!$B$2:$B$3</c:f>
              <c:numCache>
                <c:formatCode>0%</c:formatCode>
                <c:ptCount val="2"/>
                <c:pt idx="0">
                  <c:v>0.26</c:v>
                </c:pt>
                <c:pt idx="1">
                  <c:v>0.74</c:v>
                </c:pt>
              </c:numCache>
            </c:numRef>
          </c:val>
          <c:extLst>
            <c:ext xmlns:c16="http://schemas.microsoft.com/office/drawing/2014/chart" uri="{C3380CC4-5D6E-409C-BE32-E72D297353CC}">
              <c16:uniqueId val="{00000002-9E8C-49BC-B713-AA583DF6300C}"/>
            </c:ext>
          </c:extLst>
        </c:ser>
        <c:dLbls>
          <c:showLegendKey val="0"/>
          <c:showVal val="0"/>
          <c:showCatName val="0"/>
          <c:showSerName val="0"/>
          <c:showPercent val="1"/>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2EB8-E7B2-9E46-A60D-BFFF3DB6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5216</Words>
  <Characters>32863</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Company>SWP</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Opitz, Christian</dc:creator>
  <cp:lastModifiedBy>Bahr, Bodo</cp:lastModifiedBy>
  <cp:revision>8</cp:revision>
  <cp:lastPrinted>2018-08-09T10:25:00Z</cp:lastPrinted>
  <dcterms:created xsi:type="dcterms:W3CDTF">2018-08-23T16:09:00Z</dcterms:created>
  <dcterms:modified xsi:type="dcterms:W3CDTF">2018-09-21T18:16:00Z</dcterms:modified>
</cp:coreProperties>
</file>