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A0DC8" w14:textId="77777777" w:rsidR="00D17EE7" w:rsidRDefault="00D17EE7" w:rsidP="00D17EE7">
      <w:pPr>
        <w:jc w:val="center"/>
      </w:pPr>
    </w:p>
    <w:p w14:paraId="75FF7683" w14:textId="77777777" w:rsidR="00D17EE7" w:rsidRDefault="00D17EE7" w:rsidP="00D17EE7">
      <w:pPr>
        <w:jc w:val="center"/>
      </w:pPr>
      <w:r>
        <w:rPr>
          <w:noProof/>
          <w:lang w:eastAsia="de-DE"/>
        </w:rPr>
        <w:drawing>
          <wp:inline distT="0" distB="0" distL="0" distR="0" wp14:anchorId="3A5DFE4D" wp14:editId="42F19CA0">
            <wp:extent cx="3065780" cy="1186180"/>
            <wp:effectExtent l="0" t="0" r="1270" b="0"/>
            <wp:docPr id="2" name="Grafik 2" descr="Ein Bild, das Esse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Grafik 2" descr="Ein Bild, das Ess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5780" cy="1186180"/>
                    </a:xfrm>
                    <a:prstGeom prst="rect">
                      <a:avLst/>
                    </a:prstGeom>
                  </pic:spPr>
                </pic:pic>
              </a:graphicData>
            </a:graphic>
          </wp:inline>
        </w:drawing>
      </w:r>
    </w:p>
    <w:p w14:paraId="64727D05" w14:textId="77777777" w:rsidR="00D17EE7" w:rsidRDefault="00D17EE7"/>
    <w:p w14:paraId="1733055B" w14:textId="77777777" w:rsidR="00D17EE7" w:rsidRDefault="00D17EE7" w:rsidP="00D17EE7">
      <w:pPr>
        <w:jc w:val="center"/>
        <w:rPr>
          <w:b/>
          <w:sz w:val="32"/>
          <w:szCs w:val="32"/>
        </w:rPr>
      </w:pPr>
    </w:p>
    <w:p w14:paraId="1B61340D" w14:textId="77777777" w:rsidR="00974F94" w:rsidRPr="00D17EE7" w:rsidRDefault="007A516B" w:rsidP="00D17EE7">
      <w:pPr>
        <w:jc w:val="center"/>
        <w:rPr>
          <w:rFonts w:ascii="Verdana" w:hAnsi="Verdana"/>
          <w:b/>
          <w:sz w:val="32"/>
          <w:szCs w:val="32"/>
        </w:rPr>
      </w:pPr>
      <w:r w:rsidRPr="00D17EE7">
        <w:rPr>
          <w:rFonts w:ascii="Verdana" w:hAnsi="Verdana"/>
          <w:b/>
          <w:sz w:val="32"/>
          <w:szCs w:val="32"/>
        </w:rPr>
        <w:t>Entschließung der Konferenz</w:t>
      </w:r>
    </w:p>
    <w:p w14:paraId="7B168ED7" w14:textId="77777777" w:rsidR="00D17EE7" w:rsidRDefault="00D17EE7" w:rsidP="00D17EE7">
      <w:pPr>
        <w:jc w:val="center"/>
        <w:rPr>
          <w:b/>
          <w:sz w:val="32"/>
          <w:szCs w:val="32"/>
        </w:rPr>
      </w:pPr>
    </w:p>
    <w:p w14:paraId="2B72D02F" w14:textId="77777777" w:rsidR="00D17EE7" w:rsidRPr="00D17EE7" w:rsidRDefault="00D17EE7" w:rsidP="00D17EE7">
      <w:pPr>
        <w:jc w:val="center"/>
        <w:rPr>
          <w:b/>
          <w:sz w:val="32"/>
          <w:szCs w:val="32"/>
        </w:rPr>
      </w:pPr>
    </w:p>
    <w:p w14:paraId="6EA95B23" w14:textId="77777777" w:rsidR="007A516B" w:rsidRDefault="007A516B"/>
    <w:p w14:paraId="721A332A" w14:textId="77777777" w:rsidR="007A516B" w:rsidRPr="00D17EE7" w:rsidRDefault="007A516B">
      <w:pPr>
        <w:rPr>
          <w:rFonts w:ascii="Verdana" w:hAnsi="Verdana"/>
          <w:sz w:val="18"/>
          <w:szCs w:val="18"/>
        </w:rPr>
      </w:pPr>
      <w:r w:rsidRPr="00D17EE7">
        <w:rPr>
          <w:rFonts w:ascii="Verdana" w:hAnsi="Verdana"/>
          <w:sz w:val="18"/>
          <w:szCs w:val="18"/>
        </w:rPr>
        <w:t>Angenommen von der Digitalen 29. Ostseeparlamentarierkonferenz am 24. August 2020</w:t>
      </w:r>
      <w:r w:rsidR="00CC7E54">
        <w:rPr>
          <w:rFonts w:ascii="Verdana" w:hAnsi="Verdana"/>
          <w:sz w:val="18"/>
          <w:szCs w:val="18"/>
        </w:rPr>
        <w:t xml:space="preserve"> </w:t>
      </w:r>
    </w:p>
    <w:p w14:paraId="7229D05C" w14:textId="77777777" w:rsidR="007A516B" w:rsidRDefault="007A516B" w:rsidP="00D17EE7">
      <w:pPr>
        <w:spacing w:line="360" w:lineRule="auto"/>
      </w:pPr>
    </w:p>
    <w:p w14:paraId="492B4E3C" w14:textId="77777777" w:rsidR="007A516B" w:rsidRDefault="007A516B">
      <w:pPr>
        <w:rPr>
          <w:rFonts w:ascii="Verdana" w:hAnsi="Verdana"/>
          <w:sz w:val="20"/>
          <w:szCs w:val="20"/>
        </w:rPr>
      </w:pPr>
      <w:r w:rsidRPr="00D17EE7">
        <w:rPr>
          <w:rFonts w:ascii="Verdana" w:hAnsi="Verdana"/>
          <w:sz w:val="20"/>
          <w:szCs w:val="20"/>
        </w:rPr>
        <w:t xml:space="preserve">Die Teilnehmer, die gewählten Vertreter der Staaten der Ostseeregion, die am 24. August </w:t>
      </w:r>
      <w:r w:rsidR="00CC7E54">
        <w:rPr>
          <w:rFonts w:ascii="Verdana" w:hAnsi="Verdana"/>
          <w:sz w:val="20"/>
          <w:szCs w:val="20"/>
        </w:rPr>
        <w:t>2020 in</w:t>
      </w:r>
      <w:r w:rsidRPr="00D17EE7">
        <w:rPr>
          <w:rFonts w:ascii="Verdana" w:hAnsi="Verdana"/>
          <w:sz w:val="20"/>
          <w:szCs w:val="20"/>
        </w:rPr>
        <w:t xml:space="preserve"> </w:t>
      </w:r>
      <w:r w:rsidR="00AB24CB">
        <w:rPr>
          <w:rFonts w:ascii="Verdana" w:hAnsi="Verdana"/>
          <w:sz w:val="20"/>
          <w:szCs w:val="20"/>
        </w:rPr>
        <w:t>digitaler</w:t>
      </w:r>
      <w:r w:rsidRPr="00D17EE7">
        <w:rPr>
          <w:rFonts w:ascii="Verdana" w:hAnsi="Verdana"/>
          <w:sz w:val="20"/>
          <w:szCs w:val="20"/>
        </w:rPr>
        <w:t xml:space="preserve"> Form zusammengekommen sind,</w:t>
      </w:r>
    </w:p>
    <w:p w14:paraId="1D653488" w14:textId="77777777" w:rsidR="00D17EE7" w:rsidRPr="00D17EE7" w:rsidRDefault="00D17EE7">
      <w:pPr>
        <w:rPr>
          <w:rFonts w:ascii="Verdana" w:hAnsi="Verdana"/>
          <w:sz w:val="20"/>
          <w:szCs w:val="20"/>
        </w:rPr>
      </w:pPr>
    </w:p>
    <w:p w14:paraId="4E9D0BFD" w14:textId="77777777" w:rsidR="007A516B" w:rsidRPr="00D17EE7" w:rsidRDefault="007A516B">
      <w:pPr>
        <w:rPr>
          <w:rFonts w:ascii="Verdana" w:hAnsi="Verdana"/>
          <w:sz w:val="20"/>
          <w:szCs w:val="20"/>
        </w:rPr>
      </w:pPr>
    </w:p>
    <w:p w14:paraId="79E1C6CB" w14:textId="77777777" w:rsidR="007A516B" w:rsidRPr="00D17EE7" w:rsidRDefault="007A516B" w:rsidP="00D17EE7">
      <w:pPr>
        <w:pStyle w:val="Listenabsatz"/>
        <w:numPr>
          <w:ilvl w:val="0"/>
          <w:numId w:val="1"/>
        </w:numPr>
        <w:rPr>
          <w:rFonts w:ascii="Verdana" w:hAnsi="Verdana" w:cs="Arial"/>
          <w:sz w:val="20"/>
          <w:szCs w:val="20"/>
        </w:rPr>
      </w:pPr>
      <w:r w:rsidRPr="00D17EE7">
        <w:rPr>
          <w:rFonts w:ascii="Verdana" w:hAnsi="Verdana" w:cs="Arial"/>
          <w:sz w:val="20"/>
          <w:szCs w:val="20"/>
        </w:rPr>
        <w:t xml:space="preserve">unter Bekräftigung der dringenden Aufforderung und der Erwartung an alle </w:t>
      </w:r>
      <w:r w:rsidR="008C35E5">
        <w:rPr>
          <w:rFonts w:ascii="Verdana" w:hAnsi="Verdana" w:cs="Arial"/>
          <w:sz w:val="20"/>
          <w:szCs w:val="20"/>
        </w:rPr>
        <w:t>Ostseeanrainerstaaten</w:t>
      </w:r>
      <w:r w:rsidR="00AB4C67">
        <w:rPr>
          <w:rFonts w:ascii="Verdana" w:hAnsi="Verdana" w:cs="Arial"/>
          <w:sz w:val="20"/>
          <w:szCs w:val="20"/>
        </w:rPr>
        <w:t xml:space="preserve"> im Lichte </w:t>
      </w:r>
      <w:r w:rsidR="00D67AE9">
        <w:rPr>
          <w:rFonts w:ascii="Verdana" w:hAnsi="Verdana" w:cs="Arial"/>
          <w:sz w:val="20"/>
          <w:szCs w:val="20"/>
        </w:rPr>
        <w:t>der COVID-19-</w:t>
      </w:r>
      <w:r w:rsidRPr="00D17EE7">
        <w:rPr>
          <w:rFonts w:ascii="Verdana" w:hAnsi="Verdana" w:cs="Arial"/>
          <w:sz w:val="20"/>
          <w:szCs w:val="20"/>
        </w:rPr>
        <w:t xml:space="preserve">Pandemie und ihrer </w:t>
      </w:r>
      <w:r w:rsidR="003227F1">
        <w:rPr>
          <w:rFonts w:ascii="Verdana" w:hAnsi="Verdana" w:cs="Arial"/>
          <w:sz w:val="20"/>
          <w:szCs w:val="20"/>
        </w:rPr>
        <w:t>Folgen</w:t>
      </w:r>
      <w:r w:rsidRPr="00D17EE7">
        <w:rPr>
          <w:rFonts w:ascii="Verdana" w:hAnsi="Verdana" w:cs="Arial"/>
          <w:sz w:val="20"/>
          <w:szCs w:val="20"/>
        </w:rPr>
        <w:t xml:space="preserve">, jegliche Bemühungen dahingehend zu unternehmen, dass der Ostseeraum eine Region friedlicher und enger Nachbarschaft </w:t>
      </w:r>
      <w:r w:rsidR="00D17EE7">
        <w:rPr>
          <w:rFonts w:ascii="Verdana" w:hAnsi="Verdana" w:cs="Arial"/>
          <w:sz w:val="20"/>
          <w:szCs w:val="20"/>
        </w:rPr>
        <w:t>sowie</w:t>
      </w:r>
      <w:r w:rsidR="00D17EE7" w:rsidRPr="00D17EE7">
        <w:rPr>
          <w:rFonts w:ascii="Verdana" w:hAnsi="Verdana" w:cs="Arial"/>
          <w:sz w:val="20"/>
          <w:szCs w:val="20"/>
        </w:rPr>
        <w:t xml:space="preserve"> intensiver </w:t>
      </w:r>
      <w:r w:rsidR="00FC6105">
        <w:rPr>
          <w:rFonts w:ascii="Verdana" w:hAnsi="Verdana" w:cs="Arial"/>
          <w:sz w:val="20"/>
          <w:szCs w:val="20"/>
        </w:rPr>
        <w:t>Zusammenarbeit</w:t>
      </w:r>
      <w:r w:rsidR="00D17EE7" w:rsidRPr="00D17EE7">
        <w:rPr>
          <w:rFonts w:ascii="Verdana" w:hAnsi="Verdana" w:cs="Arial"/>
          <w:sz w:val="20"/>
          <w:szCs w:val="20"/>
        </w:rPr>
        <w:t xml:space="preserve"> bleibt. Gerade</w:t>
      </w:r>
      <w:r w:rsidRPr="00D17EE7">
        <w:rPr>
          <w:rFonts w:ascii="Verdana" w:hAnsi="Verdana" w:cs="Arial"/>
          <w:sz w:val="20"/>
          <w:szCs w:val="20"/>
        </w:rPr>
        <w:t xml:space="preserve"> in Krisenzeiten sind die Grundlagen unserer Zusammenarbeit – basierend auf </w:t>
      </w:r>
      <w:r w:rsidR="00D17EE7">
        <w:rPr>
          <w:rFonts w:ascii="Verdana" w:hAnsi="Verdana" w:cs="Arial"/>
          <w:sz w:val="20"/>
          <w:szCs w:val="20"/>
        </w:rPr>
        <w:t>dem Völkerrecht</w:t>
      </w:r>
      <w:r w:rsidRPr="00D17EE7">
        <w:rPr>
          <w:rFonts w:ascii="Verdana" w:hAnsi="Verdana" w:cs="Arial"/>
          <w:sz w:val="20"/>
          <w:szCs w:val="20"/>
        </w:rPr>
        <w:t xml:space="preserve">, </w:t>
      </w:r>
      <w:r w:rsidR="00FC6105">
        <w:rPr>
          <w:rFonts w:ascii="Verdana" w:hAnsi="Verdana" w:cs="Arial"/>
          <w:sz w:val="20"/>
          <w:szCs w:val="20"/>
        </w:rPr>
        <w:t>dem gegenseitigen</w:t>
      </w:r>
      <w:r w:rsidR="00D17EE7">
        <w:rPr>
          <w:rFonts w:ascii="Verdana" w:hAnsi="Verdana" w:cs="Arial"/>
          <w:sz w:val="20"/>
          <w:szCs w:val="20"/>
        </w:rPr>
        <w:t xml:space="preserve"> Verständnis, </w:t>
      </w:r>
      <w:r w:rsidR="00FC6105">
        <w:rPr>
          <w:rFonts w:ascii="Verdana" w:hAnsi="Verdana" w:cs="Arial"/>
          <w:sz w:val="20"/>
          <w:szCs w:val="20"/>
        </w:rPr>
        <w:t xml:space="preserve">dem </w:t>
      </w:r>
      <w:r w:rsidR="00D17EE7">
        <w:rPr>
          <w:rFonts w:ascii="Verdana" w:hAnsi="Verdana" w:cs="Arial"/>
          <w:sz w:val="20"/>
          <w:szCs w:val="20"/>
        </w:rPr>
        <w:t xml:space="preserve">Vertrauen, </w:t>
      </w:r>
      <w:r w:rsidR="00FC6105">
        <w:rPr>
          <w:rFonts w:ascii="Verdana" w:hAnsi="Verdana" w:cs="Arial"/>
          <w:sz w:val="20"/>
          <w:szCs w:val="20"/>
        </w:rPr>
        <w:t xml:space="preserve">den </w:t>
      </w:r>
      <w:r w:rsidR="00D17EE7">
        <w:rPr>
          <w:rFonts w:ascii="Verdana" w:hAnsi="Verdana" w:cs="Arial"/>
          <w:sz w:val="20"/>
          <w:szCs w:val="20"/>
        </w:rPr>
        <w:t xml:space="preserve">demokratischen Werten, </w:t>
      </w:r>
      <w:r w:rsidR="00FC6105">
        <w:rPr>
          <w:rFonts w:ascii="Verdana" w:hAnsi="Verdana" w:cs="Arial"/>
          <w:sz w:val="20"/>
          <w:szCs w:val="20"/>
        </w:rPr>
        <w:t xml:space="preserve">der </w:t>
      </w:r>
      <w:r w:rsidR="00D17EE7">
        <w:rPr>
          <w:rFonts w:ascii="Verdana" w:hAnsi="Verdana" w:cs="Arial"/>
          <w:sz w:val="20"/>
          <w:szCs w:val="20"/>
        </w:rPr>
        <w:t>Rechtsstaatlichkeit</w:t>
      </w:r>
      <w:r w:rsidR="00FC6105">
        <w:rPr>
          <w:rFonts w:ascii="Verdana" w:hAnsi="Verdana" w:cs="Arial"/>
          <w:sz w:val="20"/>
          <w:szCs w:val="20"/>
        </w:rPr>
        <w:t>, den</w:t>
      </w:r>
      <w:r w:rsidR="00D17EE7">
        <w:rPr>
          <w:rFonts w:ascii="Verdana" w:hAnsi="Verdana" w:cs="Arial"/>
          <w:sz w:val="20"/>
          <w:szCs w:val="20"/>
        </w:rPr>
        <w:t xml:space="preserve"> </w:t>
      </w:r>
      <w:r w:rsidRPr="00D17EE7">
        <w:rPr>
          <w:rFonts w:ascii="Verdana" w:hAnsi="Verdana" w:cs="Arial"/>
          <w:sz w:val="20"/>
          <w:szCs w:val="20"/>
        </w:rPr>
        <w:t xml:space="preserve">Menschenrechten und </w:t>
      </w:r>
      <w:r w:rsidR="00FC6105">
        <w:rPr>
          <w:rFonts w:ascii="Verdana" w:hAnsi="Verdana" w:cs="Arial"/>
          <w:sz w:val="20"/>
          <w:szCs w:val="20"/>
        </w:rPr>
        <w:t xml:space="preserve">der </w:t>
      </w:r>
      <w:r w:rsidRPr="00D17EE7">
        <w:rPr>
          <w:rFonts w:ascii="Verdana" w:hAnsi="Verdana" w:cs="Arial"/>
          <w:sz w:val="20"/>
          <w:szCs w:val="20"/>
        </w:rPr>
        <w:t>Chancengleichheit</w:t>
      </w:r>
      <w:r w:rsidR="00D17EE7" w:rsidRPr="00D17EE7">
        <w:rPr>
          <w:rFonts w:ascii="Verdana" w:hAnsi="Verdana" w:cs="Arial"/>
          <w:sz w:val="20"/>
          <w:szCs w:val="20"/>
        </w:rPr>
        <w:t xml:space="preserve"> – von besonderer Bedeutung.</w:t>
      </w:r>
    </w:p>
    <w:p w14:paraId="65944A70" w14:textId="77777777" w:rsidR="00D17EE7" w:rsidRPr="00D17EE7" w:rsidRDefault="00D17EE7" w:rsidP="00D17EE7">
      <w:pPr>
        <w:pStyle w:val="Listenabsatz"/>
        <w:rPr>
          <w:rFonts w:ascii="Verdana" w:hAnsi="Verdana" w:cs="Arial"/>
          <w:sz w:val="20"/>
          <w:szCs w:val="20"/>
        </w:rPr>
      </w:pPr>
    </w:p>
    <w:p w14:paraId="04F88BB9" w14:textId="0EB5D00A" w:rsidR="00D17EE7" w:rsidRPr="00D17EE7" w:rsidRDefault="00FC6105" w:rsidP="00D17EE7">
      <w:pPr>
        <w:pStyle w:val="Listenabsatz"/>
        <w:rPr>
          <w:rFonts w:ascii="Verdana" w:hAnsi="Verdana" w:cs="Arial"/>
          <w:sz w:val="20"/>
          <w:szCs w:val="20"/>
        </w:rPr>
      </w:pPr>
      <w:r>
        <w:rPr>
          <w:rFonts w:ascii="Verdana" w:hAnsi="Verdana" w:cs="Arial"/>
          <w:sz w:val="20"/>
          <w:szCs w:val="20"/>
        </w:rPr>
        <w:t>Die COVID-19-</w:t>
      </w:r>
      <w:r w:rsidR="00D17EE7" w:rsidRPr="00D17EE7">
        <w:rPr>
          <w:rFonts w:ascii="Verdana" w:hAnsi="Verdana" w:cs="Arial"/>
          <w:sz w:val="20"/>
          <w:szCs w:val="20"/>
        </w:rPr>
        <w:t xml:space="preserve">Pandemie stellt auch die Parlamente </w:t>
      </w:r>
      <w:r w:rsidR="00D17EE7">
        <w:rPr>
          <w:rFonts w:ascii="Verdana" w:hAnsi="Verdana" w:cs="Arial"/>
          <w:sz w:val="20"/>
          <w:szCs w:val="20"/>
        </w:rPr>
        <w:t>vor</w:t>
      </w:r>
      <w:r w:rsidR="00D17EE7" w:rsidRPr="00D17EE7">
        <w:rPr>
          <w:rFonts w:ascii="Verdana" w:hAnsi="Verdana" w:cs="Arial"/>
          <w:sz w:val="20"/>
          <w:szCs w:val="20"/>
        </w:rPr>
        <w:t xml:space="preserve"> </w:t>
      </w:r>
      <w:r w:rsidR="0003508A">
        <w:rPr>
          <w:rFonts w:ascii="Verdana" w:hAnsi="Verdana" w:cs="Arial"/>
          <w:sz w:val="20"/>
          <w:szCs w:val="20"/>
        </w:rPr>
        <w:t>erhebliche</w:t>
      </w:r>
      <w:r w:rsidR="00D17EE7" w:rsidRPr="00D17EE7">
        <w:rPr>
          <w:rFonts w:ascii="Verdana" w:hAnsi="Verdana" w:cs="Arial"/>
          <w:sz w:val="20"/>
          <w:szCs w:val="20"/>
        </w:rPr>
        <w:t xml:space="preserve"> Herausforderung</w:t>
      </w:r>
      <w:r w:rsidR="003227F1">
        <w:rPr>
          <w:rFonts w:ascii="Verdana" w:hAnsi="Verdana" w:cs="Arial"/>
          <w:sz w:val="20"/>
          <w:szCs w:val="20"/>
        </w:rPr>
        <w:t>en</w:t>
      </w:r>
      <w:r w:rsidR="00D17EE7" w:rsidRPr="00D17EE7">
        <w:rPr>
          <w:rFonts w:ascii="Verdana" w:hAnsi="Verdana" w:cs="Arial"/>
          <w:sz w:val="20"/>
          <w:szCs w:val="20"/>
        </w:rPr>
        <w:t xml:space="preserve">: </w:t>
      </w:r>
      <w:r w:rsidR="00D17EE7" w:rsidRPr="00C053E2">
        <w:rPr>
          <w:rFonts w:ascii="Verdana" w:hAnsi="Verdana" w:cs="Arial"/>
          <w:sz w:val="20"/>
          <w:szCs w:val="20"/>
        </w:rPr>
        <w:t xml:space="preserve">die dringend erforderliche interparlamentarische Zusammenarbeit </w:t>
      </w:r>
      <w:r w:rsidR="0003508A" w:rsidRPr="00C053E2">
        <w:rPr>
          <w:rFonts w:ascii="Verdana" w:hAnsi="Verdana" w:cs="Arial"/>
          <w:sz w:val="20"/>
          <w:szCs w:val="20"/>
        </w:rPr>
        <w:t xml:space="preserve">ist besonders </w:t>
      </w:r>
      <w:r w:rsidR="0069469C" w:rsidRPr="00C053E2">
        <w:rPr>
          <w:rFonts w:ascii="Verdana" w:hAnsi="Verdana" w:cs="Arial"/>
          <w:sz w:val="20"/>
          <w:szCs w:val="20"/>
        </w:rPr>
        <w:t>erschwert</w:t>
      </w:r>
      <w:r w:rsidR="0003508A" w:rsidRPr="00C053E2">
        <w:rPr>
          <w:rFonts w:ascii="Verdana" w:hAnsi="Verdana" w:cs="Arial"/>
          <w:sz w:val="20"/>
          <w:szCs w:val="20"/>
        </w:rPr>
        <w:t>, denn</w:t>
      </w:r>
      <w:r w:rsidR="00D17EE7" w:rsidRPr="00C053E2">
        <w:rPr>
          <w:rFonts w:ascii="Verdana" w:hAnsi="Verdana" w:cs="Arial"/>
          <w:sz w:val="20"/>
          <w:szCs w:val="20"/>
        </w:rPr>
        <w:t xml:space="preserve"> parlamentarische Versammlung</w:t>
      </w:r>
      <w:r w:rsidR="0003508A" w:rsidRPr="00C053E2">
        <w:rPr>
          <w:rFonts w:ascii="Verdana" w:hAnsi="Verdana" w:cs="Arial"/>
          <w:sz w:val="20"/>
          <w:szCs w:val="20"/>
        </w:rPr>
        <w:t>en</w:t>
      </w:r>
      <w:r w:rsidR="00D17EE7" w:rsidRPr="00C053E2">
        <w:rPr>
          <w:rFonts w:ascii="Verdana" w:hAnsi="Verdana" w:cs="Arial"/>
          <w:sz w:val="20"/>
          <w:szCs w:val="20"/>
        </w:rPr>
        <w:t xml:space="preserve"> </w:t>
      </w:r>
      <w:r w:rsidR="0003508A" w:rsidRPr="00C053E2">
        <w:rPr>
          <w:rFonts w:ascii="Verdana" w:hAnsi="Verdana" w:cs="Arial"/>
          <w:sz w:val="20"/>
          <w:szCs w:val="20"/>
        </w:rPr>
        <w:t xml:space="preserve">sind </w:t>
      </w:r>
      <w:r w:rsidR="00D17EE7" w:rsidRPr="00C053E2">
        <w:rPr>
          <w:rFonts w:ascii="Verdana" w:hAnsi="Verdana" w:cs="Arial"/>
          <w:sz w:val="20"/>
          <w:szCs w:val="20"/>
        </w:rPr>
        <w:t xml:space="preserve">von Natur aus durch eine größere Anzahl von Teilnehmenden </w:t>
      </w:r>
      <w:r w:rsidR="00FA2D15" w:rsidRPr="00C053E2">
        <w:rPr>
          <w:rFonts w:ascii="Verdana" w:hAnsi="Verdana" w:cs="Arial"/>
          <w:sz w:val="20"/>
          <w:szCs w:val="20"/>
        </w:rPr>
        <w:t>gekennzeichnet</w:t>
      </w:r>
      <w:r w:rsidR="00D17EE7" w:rsidRPr="00C053E2">
        <w:rPr>
          <w:rFonts w:ascii="Verdana" w:hAnsi="Verdana" w:cs="Arial"/>
          <w:sz w:val="20"/>
          <w:szCs w:val="20"/>
        </w:rPr>
        <w:t>.</w:t>
      </w:r>
    </w:p>
    <w:p w14:paraId="4E14F44D" w14:textId="77777777" w:rsidR="00D17EE7" w:rsidRPr="00D17EE7" w:rsidRDefault="00D17EE7" w:rsidP="00D17EE7">
      <w:pPr>
        <w:pStyle w:val="Listenabsatz"/>
        <w:rPr>
          <w:rFonts w:ascii="Verdana" w:hAnsi="Verdana" w:cs="Arial"/>
          <w:sz w:val="20"/>
          <w:szCs w:val="20"/>
        </w:rPr>
      </w:pPr>
    </w:p>
    <w:p w14:paraId="14ECFB60" w14:textId="78678796" w:rsidR="00D17EE7" w:rsidRPr="00D17EE7" w:rsidRDefault="00D17EE7" w:rsidP="00D17EE7">
      <w:pPr>
        <w:pStyle w:val="Listenabsatz"/>
        <w:rPr>
          <w:rFonts w:ascii="Verdana" w:hAnsi="Verdana" w:cs="Arial"/>
          <w:sz w:val="20"/>
          <w:szCs w:val="20"/>
        </w:rPr>
      </w:pPr>
      <w:r w:rsidRPr="00D17EE7">
        <w:rPr>
          <w:rFonts w:ascii="Verdana" w:hAnsi="Verdana" w:cs="Arial"/>
          <w:sz w:val="20"/>
          <w:szCs w:val="20"/>
        </w:rPr>
        <w:t>Ausgerechnet j</w:t>
      </w:r>
      <w:r w:rsidR="00D67AE9">
        <w:rPr>
          <w:rFonts w:ascii="Verdana" w:hAnsi="Verdana" w:cs="Arial"/>
          <w:sz w:val="20"/>
          <w:szCs w:val="20"/>
        </w:rPr>
        <w:t>etzt und im Lichte der COVID-19-</w:t>
      </w:r>
      <w:r w:rsidRPr="00D17EE7">
        <w:rPr>
          <w:rFonts w:ascii="Verdana" w:hAnsi="Verdana" w:cs="Arial"/>
          <w:sz w:val="20"/>
          <w:szCs w:val="20"/>
        </w:rPr>
        <w:t xml:space="preserve">Pandemie ist es nicht nur notwendig, die Zusammenarbeit zwischen den Regierungen so intensiv wie möglich aufrechtzuerhalten und zu verstärken, sondern auch zu gewährleisten, dass </w:t>
      </w:r>
      <w:r>
        <w:rPr>
          <w:rFonts w:ascii="Verdana" w:hAnsi="Verdana" w:cs="Arial"/>
          <w:sz w:val="20"/>
          <w:szCs w:val="20"/>
        </w:rPr>
        <w:t>vor allem</w:t>
      </w:r>
      <w:r w:rsidRPr="00D17EE7">
        <w:rPr>
          <w:rFonts w:ascii="Verdana" w:hAnsi="Verdana" w:cs="Arial"/>
          <w:sz w:val="20"/>
          <w:szCs w:val="20"/>
        </w:rPr>
        <w:t xml:space="preserve"> die gewählten </w:t>
      </w:r>
      <w:r w:rsidR="00A06A8A">
        <w:rPr>
          <w:rFonts w:ascii="Verdana" w:hAnsi="Verdana" w:cs="Arial"/>
          <w:sz w:val="20"/>
          <w:szCs w:val="20"/>
        </w:rPr>
        <w:t>Volksv</w:t>
      </w:r>
      <w:r w:rsidRPr="00D17EE7">
        <w:rPr>
          <w:rFonts w:ascii="Verdana" w:hAnsi="Verdana" w:cs="Arial"/>
          <w:sz w:val="20"/>
          <w:szCs w:val="20"/>
        </w:rPr>
        <w:t>ertreter</w:t>
      </w:r>
      <w:r w:rsidR="003227F1">
        <w:rPr>
          <w:rFonts w:ascii="Verdana" w:hAnsi="Verdana" w:cs="Arial"/>
          <w:sz w:val="20"/>
          <w:szCs w:val="20"/>
        </w:rPr>
        <w:t xml:space="preserve"> </w:t>
      </w:r>
      <w:r w:rsidRPr="00D17EE7">
        <w:rPr>
          <w:rFonts w:ascii="Verdana" w:hAnsi="Verdana" w:cs="Arial"/>
          <w:sz w:val="20"/>
          <w:szCs w:val="20"/>
        </w:rPr>
        <w:t xml:space="preserve">weiterhin eng </w:t>
      </w:r>
      <w:r>
        <w:rPr>
          <w:rFonts w:ascii="Verdana" w:hAnsi="Verdana" w:cs="Arial"/>
          <w:sz w:val="20"/>
          <w:szCs w:val="20"/>
        </w:rPr>
        <w:t xml:space="preserve">und vertrauensvoll zusammenarbeiten, um </w:t>
      </w:r>
      <w:r w:rsidRPr="00D17EE7">
        <w:rPr>
          <w:rFonts w:ascii="Verdana" w:hAnsi="Verdana" w:cs="Arial"/>
          <w:sz w:val="20"/>
          <w:szCs w:val="20"/>
        </w:rPr>
        <w:t xml:space="preserve">Impulse für künftiges Regierungshandeln und vertrauensvolle Kooperation </w:t>
      </w:r>
      <w:r w:rsidR="00D67AE9">
        <w:rPr>
          <w:rFonts w:ascii="Verdana" w:hAnsi="Verdana" w:cs="Arial"/>
          <w:sz w:val="20"/>
          <w:szCs w:val="20"/>
        </w:rPr>
        <w:t>zwischen ihren</w:t>
      </w:r>
      <w:r w:rsidRPr="00D17EE7">
        <w:rPr>
          <w:rFonts w:ascii="Verdana" w:hAnsi="Verdana" w:cs="Arial"/>
          <w:sz w:val="20"/>
          <w:szCs w:val="20"/>
        </w:rPr>
        <w:t xml:space="preserve"> Länder</w:t>
      </w:r>
      <w:r w:rsidR="00D67AE9">
        <w:rPr>
          <w:rFonts w:ascii="Verdana" w:hAnsi="Verdana" w:cs="Arial"/>
          <w:sz w:val="20"/>
          <w:szCs w:val="20"/>
        </w:rPr>
        <w:t>n</w:t>
      </w:r>
      <w:r w:rsidRPr="00D17EE7">
        <w:rPr>
          <w:rFonts w:ascii="Verdana" w:hAnsi="Verdana" w:cs="Arial"/>
          <w:sz w:val="20"/>
          <w:szCs w:val="20"/>
        </w:rPr>
        <w:t xml:space="preserve"> </w:t>
      </w:r>
      <w:r>
        <w:rPr>
          <w:rFonts w:ascii="Verdana" w:hAnsi="Verdana" w:cs="Arial"/>
          <w:sz w:val="20"/>
          <w:szCs w:val="20"/>
        </w:rPr>
        <w:t>zu geben</w:t>
      </w:r>
      <w:r w:rsidRPr="00D17EE7">
        <w:rPr>
          <w:rFonts w:ascii="Verdana" w:hAnsi="Verdana" w:cs="Arial"/>
          <w:sz w:val="20"/>
          <w:szCs w:val="20"/>
        </w:rPr>
        <w:t xml:space="preserve">. </w:t>
      </w:r>
      <w:r>
        <w:rPr>
          <w:rFonts w:ascii="Verdana" w:hAnsi="Verdana" w:cs="Arial"/>
          <w:sz w:val="20"/>
          <w:szCs w:val="20"/>
        </w:rPr>
        <w:t>Gerade</w:t>
      </w:r>
      <w:r w:rsidRPr="00D17EE7">
        <w:rPr>
          <w:rFonts w:ascii="Verdana" w:hAnsi="Verdana" w:cs="Arial"/>
          <w:sz w:val="20"/>
          <w:szCs w:val="20"/>
        </w:rPr>
        <w:t xml:space="preserve"> auf diese Weise können und müssen Anstöße für die Konsolidierung der demokratischen Grundlagen und der parlamentarischen Dimension der </w:t>
      </w:r>
      <w:r>
        <w:rPr>
          <w:rFonts w:ascii="Verdana" w:hAnsi="Verdana" w:cs="Arial"/>
          <w:sz w:val="20"/>
          <w:szCs w:val="20"/>
        </w:rPr>
        <w:t>beteiligten</w:t>
      </w:r>
      <w:r w:rsidRPr="00D17EE7">
        <w:rPr>
          <w:rFonts w:ascii="Verdana" w:hAnsi="Verdana" w:cs="Arial"/>
          <w:sz w:val="20"/>
          <w:szCs w:val="20"/>
        </w:rPr>
        <w:t xml:space="preserve"> Länder gegeben werden. Die</w:t>
      </w:r>
      <w:r>
        <w:rPr>
          <w:rFonts w:ascii="Verdana" w:hAnsi="Verdana" w:cs="Arial"/>
          <w:sz w:val="20"/>
          <w:szCs w:val="20"/>
        </w:rPr>
        <w:t xml:space="preserve"> enormen</w:t>
      </w:r>
      <w:r w:rsidRPr="00D17EE7">
        <w:rPr>
          <w:rFonts w:ascii="Verdana" w:hAnsi="Verdana" w:cs="Arial"/>
          <w:sz w:val="20"/>
          <w:szCs w:val="20"/>
        </w:rPr>
        <w:t xml:space="preserve"> Aufgaben und </w:t>
      </w:r>
      <w:r>
        <w:rPr>
          <w:rFonts w:ascii="Verdana" w:hAnsi="Verdana" w:cs="Arial"/>
          <w:sz w:val="20"/>
          <w:szCs w:val="20"/>
        </w:rPr>
        <w:t>Anstrengungen zur Eindämmung und Überwindung der Krise</w:t>
      </w:r>
      <w:r w:rsidRPr="00D17EE7">
        <w:rPr>
          <w:rFonts w:ascii="Verdana" w:hAnsi="Verdana" w:cs="Arial"/>
          <w:sz w:val="20"/>
          <w:szCs w:val="20"/>
        </w:rPr>
        <w:t xml:space="preserve">, </w:t>
      </w:r>
      <w:r>
        <w:rPr>
          <w:rFonts w:ascii="Verdana" w:hAnsi="Verdana" w:cs="Arial"/>
          <w:sz w:val="20"/>
          <w:szCs w:val="20"/>
        </w:rPr>
        <w:t>die jetzt anstehen und vor allen Ländern liegen,</w:t>
      </w:r>
      <w:r w:rsidRPr="00D17EE7">
        <w:rPr>
          <w:rFonts w:ascii="Verdana" w:hAnsi="Verdana" w:cs="Arial"/>
          <w:sz w:val="20"/>
          <w:szCs w:val="20"/>
        </w:rPr>
        <w:t xml:space="preserve"> </w:t>
      </w:r>
      <w:r>
        <w:rPr>
          <w:rFonts w:ascii="Verdana" w:hAnsi="Verdana" w:cs="Arial"/>
          <w:sz w:val="20"/>
          <w:szCs w:val="20"/>
        </w:rPr>
        <w:t>bedürfen</w:t>
      </w:r>
      <w:r w:rsidRPr="00D17EE7">
        <w:rPr>
          <w:rFonts w:ascii="Verdana" w:hAnsi="Verdana" w:cs="Arial"/>
          <w:sz w:val="20"/>
          <w:szCs w:val="20"/>
        </w:rPr>
        <w:t xml:space="preserve"> mehr denn je d</w:t>
      </w:r>
      <w:r w:rsidR="00A06A8A">
        <w:rPr>
          <w:rFonts w:ascii="Verdana" w:hAnsi="Verdana" w:cs="Arial"/>
          <w:sz w:val="20"/>
          <w:szCs w:val="20"/>
        </w:rPr>
        <w:t>er</w:t>
      </w:r>
      <w:r w:rsidRPr="00D17EE7">
        <w:rPr>
          <w:rFonts w:ascii="Verdana" w:hAnsi="Verdana" w:cs="Arial"/>
          <w:sz w:val="20"/>
          <w:szCs w:val="20"/>
        </w:rPr>
        <w:t xml:space="preserve"> parlamentarische</w:t>
      </w:r>
      <w:r w:rsidR="00A06A8A">
        <w:rPr>
          <w:rFonts w:ascii="Verdana" w:hAnsi="Verdana" w:cs="Arial"/>
          <w:sz w:val="20"/>
          <w:szCs w:val="20"/>
        </w:rPr>
        <w:t>n</w:t>
      </w:r>
      <w:r w:rsidRPr="00D17EE7">
        <w:rPr>
          <w:rFonts w:ascii="Verdana" w:hAnsi="Verdana" w:cs="Arial"/>
          <w:sz w:val="20"/>
          <w:szCs w:val="20"/>
        </w:rPr>
        <w:t xml:space="preserve"> Debatte und </w:t>
      </w:r>
      <w:r w:rsidR="00A06A8A">
        <w:rPr>
          <w:rFonts w:ascii="Verdana" w:hAnsi="Verdana" w:cs="Arial"/>
          <w:sz w:val="20"/>
          <w:szCs w:val="20"/>
        </w:rPr>
        <w:t xml:space="preserve">der </w:t>
      </w:r>
      <w:r w:rsidRPr="00D17EE7">
        <w:rPr>
          <w:rFonts w:ascii="Verdana" w:hAnsi="Verdana" w:cs="Arial"/>
          <w:sz w:val="20"/>
          <w:szCs w:val="20"/>
        </w:rPr>
        <w:t>parlamentarische</w:t>
      </w:r>
      <w:r w:rsidR="00A06A8A">
        <w:rPr>
          <w:rFonts w:ascii="Verdana" w:hAnsi="Verdana" w:cs="Arial"/>
          <w:sz w:val="20"/>
          <w:szCs w:val="20"/>
        </w:rPr>
        <w:t>n</w:t>
      </w:r>
      <w:r w:rsidRPr="00D17EE7">
        <w:rPr>
          <w:rFonts w:ascii="Verdana" w:hAnsi="Verdana" w:cs="Arial"/>
          <w:sz w:val="20"/>
          <w:szCs w:val="20"/>
        </w:rPr>
        <w:t xml:space="preserve"> Zusammenarbeit;</w:t>
      </w:r>
    </w:p>
    <w:p w14:paraId="62745DB3" w14:textId="77777777" w:rsidR="00D17EE7" w:rsidRPr="00D17EE7" w:rsidRDefault="00D17EE7" w:rsidP="00D17EE7">
      <w:pPr>
        <w:pStyle w:val="Listenabsatz"/>
        <w:rPr>
          <w:rFonts w:ascii="Verdana" w:hAnsi="Verdana" w:cs="Arial"/>
          <w:sz w:val="20"/>
          <w:szCs w:val="20"/>
        </w:rPr>
      </w:pPr>
    </w:p>
    <w:p w14:paraId="253B9557" w14:textId="77777777" w:rsidR="00D17EE7" w:rsidRPr="00D17EE7" w:rsidRDefault="00D67AE9" w:rsidP="006440BA">
      <w:pPr>
        <w:pStyle w:val="Listenabsatz"/>
        <w:numPr>
          <w:ilvl w:val="0"/>
          <w:numId w:val="1"/>
        </w:numPr>
        <w:spacing w:after="160" w:line="259" w:lineRule="auto"/>
        <w:rPr>
          <w:rFonts w:ascii="Verdana" w:hAnsi="Verdana" w:cs="Arial"/>
          <w:sz w:val="20"/>
          <w:szCs w:val="20"/>
        </w:rPr>
      </w:pPr>
      <w:r w:rsidRPr="00D17EE7">
        <w:rPr>
          <w:rFonts w:ascii="Verdana" w:hAnsi="Verdana" w:cs="Arial"/>
          <w:color w:val="000000"/>
          <w:sz w:val="20"/>
          <w:szCs w:val="20"/>
        </w:rPr>
        <w:t>die fortlaufende praktische Zusammenarbeit</w:t>
      </w:r>
      <w:r w:rsidR="00D17EE7" w:rsidRPr="00D17EE7">
        <w:rPr>
          <w:rFonts w:ascii="Verdana" w:hAnsi="Verdana" w:cs="Arial"/>
          <w:color w:val="000000"/>
          <w:sz w:val="20"/>
          <w:szCs w:val="20"/>
        </w:rPr>
        <w:t xml:space="preserve"> in der Ostsee</w:t>
      </w:r>
      <w:r w:rsidR="00D17EE7" w:rsidRPr="00D17EE7">
        <w:rPr>
          <w:rFonts w:ascii="Verdana" w:hAnsi="Verdana" w:cs="Arial"/>
          <w:color w:val="000000"/>
          <w:sz w:val="20"/>
          <w:szCs w:val="20"/>
        </w:rPr>
        <w:softHyphen/>
        <w:t>region im Rahmen des</w:t>
      </w:r>
      <w:r w:rsidR="00D17EE7" w:rsidRPr="00D17EE7">
        <w:rPr>
          <w:rFonts w:ascii="Verdana" w:hAnsi="Verdana" w:cs="Arial"/>
          <w:sz w:val="20"/>
          <w:szCs w:val="20"/>
        </w:rPr>
        <w:t xml:space="preserve"> Ostseerat</w:t>
      </w:r>
      <w:r w:rsidR="00D17EE7" w:rsidRPr="00D17EE7">
        <w:rPr>
          <w:rFonts w:ascii="Verdana" w:hAnsi="Verdana" w:cs="Arial"/>
          <w:color w:val="000000"/>
          <w:sz w:val="20"/>
          <w:szCs w:val="20"/>
        </w:rPr>
        <w:t>es</w:t>
      </w:r>
      <w:r>
        <w:rPr>
          <w:rFonts w:ascii="Verdana" w:hAnsi="Verdana" w:cs="Arial"/>
          <w:color w:val="000000"/>
          <w:sz w:val="20"/>
          <w:szCs w:val="20"/>
        </w:rPr>
        <w:t xml:space="preserve"> (CBSS)</w:t>
      </w:r>
      <w:r w:rsidR="00D17EE7" w:rsidRPr="00D17EE7">
        <w:rPr>
          <w:rFonts w:ascii="Verdana" w:hAnsi="Verdana" w:cs="Arial"/>
          <w:color w:val="000000"/>
          <w:sz w:val="20"/>
          <w:szCs w:val="20"/>
        </w:rPr>
        <w:t>, der Nördlichen Dimension, der grenzüber</w:t>
      </w:r>
      <w:r w:rsidR="00D17EE7" w:rsidRPr="00D17EE7">
        <w:rPr>
          <w:rFonts w:ascii="Verdana" w:hAnsi="Verdana" w:cs="Arial"/>
          <w:color w:val="000000"/>
          <w:sz w:val="20"/>
          <w:szCs w:val="20"/>
        </w:rPr>
        <w:softHyphen/>
        <w:t>schreitenden Kooperationsprogramme zwischen den EU-Mitgliedstaaten und Russ</w:t>
      </w:r>
      <w:r w:rsidR="00D17EE7" w:rsidRPr="00D17EE7">
        <w:rPr>
          <w:rFonts w:ascii="Verdana" w:hAnsi="Verdana" w:cs="Arial"/>
          <w:color w:val="000000"/>
          <w:sz w:val="20"/>
          <w:szCs w:val="20"/>
        </w:rPr>
        <w:softHyphen/>
        <w:t xml:space="preserve">land sowie des Programms </w:t>
      </w:r>
      <w:proofErr w:type="spellStart"/>
      <w:r w:rsidR="00D17EE7" w:rsidRPr="00D17EE7">
        <w:rPr>
          <w:rFonts w:ascii="Verdana" w:hAnsi="Verdana" w:cs="Arial"/>
          <w:i/>
          <w:color w:val="000000"/>
          <w:sz w:val="20"/>
          <w:szCs w:val="20"/>
        </w:rPr>
        <w:t>Interreg</w:t>
      </w:r>
      <w:proofErr w:type="spellEnd"/>
      <w:r w:rsidR="00D17EE7" w:rsidRPr="00D17EE7">
        <w:rPr>
          <w:rFonts w:ascii="Verdana" w:hAnsi="Verdana" w:cs="Arial"/>
          <w:i/>
          <w:color w:val="000000"/>
          <w:sz w:val="20"/>
          <w:szCs w:val="20"/>
        </w:rPr>
        <w:t xml:space="preserve"> Baltic </w:t>
      </w:r>
      <w:proofErr w:type="spellStart"/>
      <w:r w:rsidR="00D17EE7" w:rsidRPr="00D17EE7">
        <w:rPr>
          <w:rFonts w:ascii="Verdana" w:hAnsi="Verdana" w:cs="Arial"/>
          <w:i/>
          <w:color w:val="000000"/>
          <w:sz w:val="20"/>
          <w:szCs w:val="20"/>
        </w:rPr>
        <w:t>Sea</w:t>
      </w:r>
      <w:proofErr w:type="spellEnd"/>
      <w:r w:rsidR="00D17EE7" w:rsidRPr="00D17EE7">
        <w:rPr>
          <w:rFonts w:ascii="Verdana" w:hAnsi="Verdana" w:cs="Arial"/>
          <w:i/>
          <w:color w:val="000000"/>
          <w:sz w:val="20"/>
          <w:szCs w:val="20"/>
        </w:rPr>
        <w:t xml:space="preserve"> Region</w:t>
      </w:r>
      <w:r w:rsidR="00D17EE7" w:rsidRPr="00D17EE7">
        <w:rPr>
          <w:rFonts w:ascii="Verdana" w:hAnsi="Verdana" w:cs="Arial"/>
          <w:color w:val="000000"/>
          <w:sz w:val="20"/>
          <w:szCs w:val="20"/>
        </w:rPr>
        <w:t xml:space="preserve"> mit Dankbarkeit zur Kenntnis nehmend;</w:t>
      </w:r>
      <w:r w:rsidR="00D17EE7" w:rsidRPr="00D17EE7">
        <w:rPr>
          <w:rFonts w:ascii="Verdana" w:hAnsi="Verdana" w:cs="Arial"/>
          <w:sz w:val="20"/>
          <w:szCs w:val="20"/>
        </w:rPr>
        <w:t xml:space="preserve"> </w:t>
      </w:r>
    </w:p>
    <w:p w14:paraId="79DCE100" w14:textId="77777777" w:rsidR="00D17EE7" w:rsidRPr="00D17EE7" w:rsidRDefault="00D17EE7" w:rsidP="00D17EE7">
      <w:pPr>
        <w:pStyle w:val="Listenabsatz"/>
        <w:spacing w:after="160" w:line="259" w:lineRule="auto"/>
        <w:rPr>
          <w:rFonts w:ascii="Verdana" w:hAnsi="Verdana" w:cs="Arial"/>
          <w:sz w:val="20"/>
          <w:szCs w:val="20"/>
        </w:rPr>
      </w:pPr>
    </w:p>
    <w:p w14:paraId="29B0B842" w14:textId="77777777" w:rsidR="00D17EE7" w:rsidRPr="00D17EE7" w:rsidRDefault="00D17EE7" w:rsidP="001A6F95">
      <w:pPr>
        <w:pStyle w:val="Listenabsatz"/>
        <w:numPr>
          <w:ilvl w:val="0"/>
          <w:numId w:val="1"/>
        </w:numPr>
        <w:spacing w:after="160" w:line="259" w:lineRule="auto"/>
        <w:rPr>
          <w:rFonts w:ascii="Verdana" w:hAnsi="Verdana" w:cs="Arial"/>
          <w:sz w:val="20"/>
          <w:szCs w:val="20"/>
        </w:rPr>
      </w:pPr>
      <w:r w:rsidRPr="00D17EE7">
        <w:rPr>
          <w:rFonts w:ascii="Verdana" w:hAnsi="Verdana" w:cs="Arial"/>
          <w:color w:val="000000"/>
          <w:sz w:val="20"/>
          <w:szCs w:val="20"/>
        </w:rPr>
        <w:lastRenderedPageBreak/>
        <w:t xml:space="preserve">unter Begrüßung der Bemühungen des dänischen Ostseeratsvorsitzes und der </w:t>
      </w:r>
      <w:r w:rsidR="000C0BF8">
        <w:rPr>
          <w:rFonts w:ascii="Verdana" w:hAnsi="Verdana" w:cs="Arial"/>
          <w:color w:val="000000"/>
          <w:sz w:val="20"/>
          <w:szCs w:val="20"/>
        </w:rPr>
        <w:t xml:space="preserve">Bornholmer </w:t>
      </w:r>
      <w:r w:rsidRPr="00D17EE7">
        <w:rPr>
          <w:rFonts w:ascii="Verdana" w:hAnsi="Verdana" w:cs="Arial"/>
          <w:color w:val="000000"/>
          <w:sz w:val="20"/>
          <w:szCs w:val="20"/>
        </w:rPr>
        <w:t xml:space="preserve">Erklärung </w:t>
      </w:r>
      <w:r w:rsidR="000C0BF8">
        <w:rPr>
          <w:rFonts w:ascii="Verdana" w:hAnsi="Verdana" w:cs="Arial"/>
          <w:color w:val="000000"/>
          <w:sz w:val="20"/>
          <w:szCs w:val="20"/>
        </w:rPr>
        <w:t>vo</w:t>
      </w:r>
      <w:r w:rsidRPr="00D17EE7">
        <w:rPr>
          <w:rFonts w:ascii="Verdana" w:hAnsi="Verdana" w:cs="Arial"/>
          <w:color w:val="000000"/>
          <w:sz w:val="20"/>
          <w:szCs w:val="20"/>
        </w:rPr>
        <w:t>m 19. Mai 2020 als Ergebnis einer Videokonferenz der Außenminister von Dänemark, Deutschland, Estland, Finnland, Island, Lettland, Litauen, Norwegen, Polen, Russland und Schweden und eines hochrangigen Vertreters der Europäi</w:t>
      </w:r>
      <w:r w:rsidR="000C0BF8">
        <w:rPr>
          <w:rFonts w:ascii="Verdana" w:hAnsi="Verdana" w:cs="Arial"/>
          <w:color w:val="000000"/>
          <w:sz w:val="20"/>
          <w:szCs w:val="20"/>
        </w:rPr>
        <w:t>schen Union, da der Ausbruch von</w:t>
      </w:r>
      <w:r w:rsidRPr="00D17EE7">
        <w:rPr>
          <w:rFonts w:ascii="Verdana" w:hAnsi="Verdana" w:cs="Arial"/>
          <w:color w:val="000000"/>
          <w:sz w:val="20"/>
          <w:szCs w:val="20"/>
        </w:rPr>
        <w:t xml:space="preserve"> COVID-19 </w:t>
      </w:r>
      <w:r w:rsidR="000C0BF8">
        <w:rPr>
          <w:rFonts w:ascii="Verdana" w:hAnsi="Verdana" w:cs="Arial"/>
          <w:color w:val="000000"/>
          <w:sz w:val="20"/>
          <w:szCs w:val="20"/>
        </w:rPr>
        <w:t>ein</w:t>
      </w:r>
      <w:r w:rsidRPr="00D17EE7">
        <w:rPr>
          <w:rFonts w:ascii="Verdana" w:hAnsi="Verdana" w:cs="Arial"/>
          <w:color w:val="000000"/>
          <w:sz w:val="20"/>
          <w:szCs w:val="20"/>
        </w:rPr>
        <w:t xml:space="preserve"> persönliches Treffen in Bornholm</w:t>
      </w:r>
      <w:r w:rsidR="000C0BF8">
        <w:rPr>
          <w:rFonts w:ascii="Verdana" w:hAnsi="Verdana" w:cs="Arial"/>
          <w:color w:val="000000"/>
          <w:sz w:val="20"/>
          <w:szCs w:val="20"/>
        </w:rPr>
        <w:t>, Dänemark,</w:t>
      </w:r>
      <w:r w:rsidRPr="00D17EE7">
        <w:rPr>
          <w:rFonts w:ascii="Verdana" w:hAnsi="Verdana" w:cs="Arial"/>
          <w:color w:val="000000"/>
          <w:sz w:val="20"/>
          <w:szCs w:val="20"/>
        </w:rPr>
        <w:t xml:space="preserve"> verhinderte;  </w:t>
      </w:r>
    </w:p>
    <w:p w14:paraId="7B998E2B" w14:textId="77777777" w:rsidR="00D17EE7" w:rsidRPr="007A1996" w:rsidRDefault="00D17EE7" w:rsidP="00D17EE7">
      <w:pPr>
        <w:pStyle w:val="Listenabsatz"/>
        <w:spacing w:after="160" w:line="259" w:lineRule="auto"/>
        <w:rPr>
          <w:rFonts w:ascii="Verdana" w:hAnsi="Verdana" w:cs="Arial"/>
          <w:sz w:val="20"/>
          <w:szCs w:val="20"/>
        </w:rPr>
      </w:pPr>
    </w:p>
    <w:p w14:paraId="4CF011CA" w14:textId="77777777" w:rsidR="00D17EE7" w:rsidRPr="00D17EE7" w:rsidRDefault="000C0BF8" w:rsidP="006440BA">
      <w:pPr>
        <w:pStyle w:val="Listenabsatz"/>
        <w:numPr>
          <w:ilvl w:val="0"/>
          <w:numId w:val="1"/>
        </w:numPr>
        <w:spacing w:after="160" w:line="259" w:lineRule="auto"/>
        <w:rPr>
          <w:rFonts w:ascii="Verdana" w:hAnsi="Verdana" w:cs="Arial"/>
          <w:sz w:val="20"/>
          <w:szCs w:val="20"/>
        </w:rPr>
      </w:pPr>
      <w:r>
        <w:rPr>
          <w:rFonts w:ascii="Verdana" w:hAnsi="Verdana" w:cs="Arial"/>
          <w:sz w:val="20"/>
          <w:szCs w:val="20"/>
        </w:rPr>
        <w:t>unter Begrüßung, dass die</w:t>
      </w:r>
      <w:r w:rsidR="00D17EE7" w:rsidRPr="00D17EE7">
        <w:rPr>
          <w:rFonts w:ascii="Verdana" w:hAnsi="Verdana" w:cs="Arial"/>
          <w:sz w:val="20"/>
          <w:szCs w:val="20"/>
        </w:rPr>
        <w:t xml:space="preserve"> neue</w:t>
      </w:r>
      <w:r w:rsidRPr="000C0BF8">
        <w:rPr>
          <w:rFonts w:ascii="Verdana" w:hAnsi="Verdana" w:cs="Arial"/>
          <w:i/>
          <w:sz w:val="20"/>
          <w:szCs w:val="20"/>
        </w:rPr>
        <w:t xml:space="preserve"> Baltic </w:t>
      </w:r>
      <w:proofErr w:type="spellStart"/>
      <w:r w:rsidRPr="000C0BF8">
        <w:rPr>
          <w:rFonts w:ascii="Verdana" w:hAnsi="Verdana" w:cs="Arial"/>
          <w:i/>
          <w:sz w:val="20"/>
          <w:szCs w:val="20"/>
        </w:rPr>
        <w:t>Sea</w:t>
      </w:r>
      <w:proofErr w:type="spellEnd"/>
      <w:r w:rsidRPr="000C0BF8">
        <w:rPr>
          <w:rFonts w:ascii="Verdana" w:hAnsi="Verdana" w:cs="Arial"/>
          <w:i/>
          <w:sz w:val="20"/>
          <w:szCs w:val="20"/>
        </w:rPr>
        <w:t xml:space="preserve"> Youth </w:t>
      </w:r>
      <w:proofErr w:type="spellStart"/>
      <w:r w:rsidRPr="000C0BF8">
        <w:rPr>
          <w:rFonts w:ascii="Verdana" w:hAnsi="Verdana" w:cs="Arial"/>
          <w:i/>
          <w:sz w:val="20"/>
          <w:szCs w:val="20"/>
        </w:rPr>
        <w:t>Platform</w:t>
      </w:r>
      <w:proofErr w:type="spellEnd"/>
      <w:r w:rsidR="00D17EE7" w:rsidRPr="00D17EE7">
        <w:rPr>
          <w:rFonts w:ascii="Verdana" w:hAnsi="Verdana" w:cs="Arial"/>
          <w:sz w:val="20"/>
          <w:szCs w:val="20"/>
        </w:rPr>
        <w:t xml:space="preserve">, </w:t>
      </w:r>
      <w:r>
        <w:rPr>
          <w:rFonts w:ascii="Verdana" w:hAnsi="Verdana" w:cs="Arial"/>
          <w:sz w:val="20"/>
          <w:szCs w:val="20"/>
        </w:rPr>
        <w:t xml:space="preserve">die </w:t>
      </w:r>
      <w:r w:rsidR="00D17EE7" w:rsidRPr="00D17EE7">
        <w:rPr>
          <w:rFonts w:ascii="Verdana" w:hAnsi="Verdana" w:cs="Arial"/>
          <w:sz w:val="20"/>
          <w:szCs w:val="20"/>
        </w:rPr>
        <w:t xml:space="preserve">vom Ostseerat </w:t>
      </w:r>
      <w:r>
        <w:rPr>
          <w:rFonts w:ascii="Verdana" w:hAnsi="Verdana" w:cs="Arial"/>
          <w:sz w:val="20"/>
          <w:szCs w:val="20"/>
        </w:rPr>
        <w:t>eingerichtet wurde,</w:t>
      </w:r>
      <w:r w:rsidR="00D17EE7" w:rsidRPr="00D17EE7">
        <w:rPr>
          <w:rFonts w:ascii="Verdana" w:hAnsi="Verdana" w:cs="Arial"/>
          <w:sz w:val="20"/>
          <w:szCs w:val="20"/>
        </w:rPr>
        <w:t xml:space="preserve"> </w:t>
      </w:r>
      <w:r w:rsidR="00D17EE7">
        <w:rPr>
          <w:rFonts w:ascii="Verdana" w:hAnsi="Verdana" w:cs="Arial"/>
          <w:sz w:val="20"/>
          <w:szCs w:val="20"/>
        </w:rPr>
        <w:t>ein</w:t>
      </w:r>
      <w:r w:rsidR="00D17EE7" w:rsidRPr="00D17EE7">
        <w:rPr>
          <w:rFonts w:ascii="Verdana" w:hAnsi="Verdana" w:cs="Arial"/>
          <w:sz w:val="20"/>
          <w:szCs w:val="20"/>
        </w:rPr>
        <w:t xml:space="preserve"> Kernanliegen der Ostseeparlament</w:t>
      </w:r>
      <w:r w:rsidR="006D50C4">
        <w:rPr>
          <w:rFonts w:ascii="Verdana" w:hAnsi="Verdana" w:cs="Arial"/>
          <w:sz w:val="20"/>
          <w:szCs w:val="20"/>
        </w:rPr>
        <w:t>arierkonferenz voranbrachte</w:t>
      </w:r>
      <w:r w:rsidR="00D17EE7" w:rsidRPr="00D17EE7">
        <w:rPr>
          <w:rFonts w:ascii="Verdana" w:hAnsi="Verdana" w:cs="Arial"/>
          <w:sz w:val="20"/>
          <w:szCs w:val="20"/>
        </w:rPr>
        <w:t xml:space="preserve">, </w:t>
      </w:r>
      <w:r w:rsidR="00D17EE7">
        <w:rPr>
          <w:rFonts w:ascii="Verdana" w:hAnsi="Verdana" w:cs="Arial"/>
          <w:sz w:val="20"/>
          <w:szCs w:val="20"/>
        </w:rPr>
        <w:t xml:space="preserve">nämlich </w:t>
      </w:r>
      <w:r w:rsidR="00D17EE7" w:rsidRPr="00D17EE7">
        <w:rPr>
          <w:rFonts w:ascii="Verdana" w:hAnsi="Verdana" w:cs="Arial"/>
          <w:sz w:val="20"/>
          <w:szCs w:val="20"/>
        </w:rPr>
        <w:t xml:space="preserve">die </w:t>
      </w:r>
      <w:r w:rsidR="00855405">
        <w:rPr>
          <w:rFonts w:ascii="Verdana" w:hAnsi="Verdana" w:cs="Arial"/>
          <w:sz w:val="20"/>
          <w:szCs w:val="20"/>
        </w:rPr>
        <w:t xml:space="preserve">Stärkung der </w:t>
      </w:r>
      <w:r w:rsidR="00D17EE7" w:rsidRPr="00D17EE7">
        <w:rPr>
          <w:rFonts w:ascii="Verdana" w:hAnsi="Verdana" w:cs="Arial"/>
          <w:sz w:val="20"/>
          <w:szCs w:val="20"/>
        </w:rPr>
        <w:t xml:space="preserve">Teilnahme, </w:t>
      </w:r>
      <w:r w:rsidR="00855405">
        <w:rPr>
          <w:rFonts w:ascii="Verdana" w:hAnsi="Verdana" w:cs="Arial"/>
          <w:sz w:val="20"/>
          <w:szCs w:val="20"/>
        </w:rPr>
        <w:t>Vertretung</w:t>
      </w:r>
      <w:r w:rsidR="00D17EE7" w:rsidRPr="00D17EE7">
        <w:rPr>
          <w:rFonts w:ascii="Verdana" w:hAnsi="Verdana" w:cs="Arial"/>
          <w:sz w:val="20"/>
          <w:szCs w:val="20"/>
        </w:rPr>
        <w:t xml:space="preserve"> und Beteiligung von Jugendlichen an Entscheidungsprozessen im gesamten Ostseeraum</w:t>
      </w:r>
      <w:r w:rsidR="00D17EE7">
        <w:rPr>
          <w:rFonts w:ascii="Verdana" w:hAnsi="Verdana" w:cs="Arial"/>
          <w:sz w:val="20"/>
          <w:szCs w:val="20"/>
        </w:rPr>
        <w:t>;</w:t>
      </w:r>
    </w:p>
    <w:p w14:paraId="30E74A20" w14:textId="77777777" w:rsidR="00D17EE7" w:rsidRPr="00D17EE7" w:rsidRDefault="00D17EE7" w:rsidP="00D17EE7">
      <w:pPr>
        <w:pStyle w:val="Listenabsatz"/>
        <w:spacing w:after="160" w:line="259" w:lineRule="auto"/>
        <w:rPr>
          <w:rFonts w:ascii="Verdana" w:hAnsi="Verdana" w:cs="Arial"/>
          <w:sz w:val="20"/>
          <w:szCs w:val="20"/>
        </w:rPr>
      </w:pPr>
    </w:p>
    <w:p w14:paraId="34137C00" w14:textId="77777777" w:rsidR="00D17EE7" w:rsidRPr="00D17EE7" w:rsidRDefault="00D17EE7" w:rsidP="00D17EE7">
      <w:pPr>
        <w:pStyle w:val="Listenabsatz"/>
        <w:numPr>
          <w:ilvl w:val="0"/>
          <w:numId w:val="1"/>
        </w:numPr>
        <w:spacing w:after="160" w:line="259" w:lineRule="auto"/>
        <w:rPr>
          <w:rFonts w:ascii="Verdana" w:hAnsi="Verdana" w:cs="Arial"/>
          <w:sz w:val="20"/>
          <w:szCs w:val="20"/>
        </w:rPr>
      </w:pPr>
      <w:r w:rsidRPr="00D17EE7">
        <w:rPr>
          <w:rFonts w:ascii="Verdana" w:hAnsi="Verdana" w:cs="Arial"/>
          <w:color w:val="000000"/>
          <w:sz w:val="20"/>
          <w:szCs w:val="20"/>
        </w:rPr>
        <w:t>in Billigung der detaillierten Erklärungen der Regierungen der Ostseeanrainer</w:t>
      </w:r>
      <w:r w:rsidRPr="00D17EE7">
        <w:rPr>
          <w:rFonts w:ascii="Verdana" w:hAnsi="Verdana" w:cs="Arial"/>
          <w:color w:val="000000"/>
          <w:sz w:val="20"/>
          <w:szCs w:val="20"/>
        </w:rPr>
        <w:softHyphen/>
      </w:r>
      <w:r>
        <w:rPr>
          <w:rFonts w:ascii="Verdana" w:hAnsi="Verdana" w:cs="Arial"/>
          <w:color w:val="000000"/>
          <w:sz w:val="20"/>
          <w:szCs w:val="20"/>
        </w:rPr>
        <w:t>staaten zur Entschließung der 28</w:t>
      </w:r>
      <w:r w:rsidRPr="00D17EE7">
        <w:rPr>
          <w:rFonts w:ascii="Verdana" w:hAnsi="Verdana" w:cs="Arial"/>
          <w:color w:val="000000"/>
          <w:sz w:val="20"/>
          <w:szCs w:val="20"/>
        </w:rPr>
        <w:t xml:space="preserve">. Ostseeparlamentarierkonferenz und </w:t>
      </w:r>
      <w:r w:rsidR="00855405">
        <w:rPr>
          <w:rFonts w:ascii="Verdana" w:hAnsi="Verdana" w:cs="Arial"/>
          <w:color w:val="000000"/>
          <w:sz w:val="20"/>
          <w:szCs w:val="20"/>
        </w:rPr>
        <w:t>der</w:t>
      </w:r>
      <w:r w:rsidRPr="00D17EE7">
        <w:rPr>
          <w:rFonts w:ascii="Verdana" w:hAnsi="Verdana" w:cs="Arial"/>
          <w:color w:val="000000"/>
          <w:sz w:val="20"/>
          <w:szCs w:val="20"/>
        </w:rPr>
        <w:t xml:space="preserve"> </w:t>
      </w:r>
      <w:r w:rsidR="00855405">
        <w:rPr>
          <w:rFonts w:ascii="Verdana" w:hAnsi="Verdana" w:cs="Arial"/>
          <w:color w:val="000000"/>
          <w:sz w:val="20"/>
          <w:szCs w:val="20"/>
        </w:rPr>
        <w:t xml:space="preserve">intensiven </w:t>
      </w:r>
      <w:r w:rsidRPr="00D17EE7">
        <w:rPr>
          <w:rFonts w:ascii="Verdana" w:hAnsi="Verdana" w:cs="Arial"/>
          <w:color w:val="000000"/>
          <w:sz w:val="20"/>
          <w:szCs w:val="20"/>
        </w:rPr>
        <w:t xml:space="preserve">Unterstützung der </w:t>
      </w:r>
      <w:r w:rsidR="0081588D">
        <w:rPr>
          <w:rFonts w:ascii="Verdana" w:hAnsi="Verdana" w:cs="Arial"/>
          <w:color w:val="000000"/>
          <w:sz w:val="20"/>
          <w:szCs w:val="20"/>
        </w:rPr>
        <w:t xml:space="preserve">BSPC </w:t>
      </w:r>
      <w:r w:rsidRPr="00D17EE7">
        <w:rPr>
          <w:rFonts w:ascii="Verdana" w:hAnsi="Verdana" w:cs="Arial"/>
          <w:color w:val="000000"/>
          <w:sz w:val="20"/>
          <w:szCs w:val="20"/>
        </w:rPr>
        <w:t>Aufrufe zum Handeln als Fortschritt in der Zusammenarbeit im Ostseeraum;</w:t>
      </w:r>
      <w:r w:rsidRPr="00D17EE7">
        <w:rPr>
          <w:rFonts w:ascii="Verdana" w:hAnsi="Verdana" w:cs="Arial"/>
          <w:sz w:val="20"/>
          <w:szCs w:val="20"/>
        </w:rPr>
        <w:t xml:space="preserve"> </w:t>
      </w:r>
    </w:p>
    <w:p w14:paraId="6A88E5B0" w14:textId="77777777" w:rsidR="00D17EE7" w:rsidRPr="00D17EE7" w:rsidRDefault="00D17EE7" w:rsidP="00D17EE7">
      <w:pPr>
        <w:pStyle w:val="Listenabsatz"/>
        <w:spacing w:after="160" w:line="259" w:lineRule="auto"/>
        <w:rPr>
          <w:rFonts w:ascii="Verdana" w:hAnsi="Verdana" w:cs="Arial"/>
          <w:sz w:val="20"/>
          <w:szCs w:val="20"/>
        </w:rPr>
      </w:pPr>
    </w:p>
    <w:p w14:paraId="20E07B0A" w14:textId="60B7C964" w:rsidR="00D17EE7" w:rsidRPr="00D17EE7" w:rsidRDefault="00D17EE7" w:rsidP="00D17EE7">
      <w:pPr>
        <w:pStyle w:val="Listenabsatz"/>
        <w:numPr>
          <w:ilvl w:val="0"/>
          <w:numId w:val="1"/>
        </w:numPr>
        <w:spacing w:after="160" w:line="259" w:lineRule="auto"/>
        <w:rPr>
          <w:rFonts w:ascii="Verdana" w:hAnsi="Verdana"/>
          <w:sz w:val="20"/>
          <w:szCs w:val="20"/>
        </w:rPr>
      </w:pPr>
      <w:r w:rsidRPr="00D17EE7">
        <w:rPr>
          <w:rFonts w:ascii="Verdana" w:hAnsi="Verdana" w:cs="Arial"/>
          <w:sz w:val="20"/>
          <w:szCs w:val="20"/>
        </w:rPr>
        <w:t xml:space="preserve">unter </w:t>
      </w:r>
      <w:r w:rsidR="00223FD9">
        <w:rPr>
          <w:rFonts w:ascii="Verdana" w:hAnsi="Verdana" w:cs="Arial"/>
          <w:sz w:val="20"/>
          <w:szCs w:val="20"/>
        </w:rPr>
        <w:t>Erörterung</w:t>
      </w:r>
      <w:r w:rsidRPr="00D17EE7">
        <w:rPr>
          <w:rFonts w:ascii="Verdana" w:hAnsi="Verdana" w:cs="Arial"/>
          <w:sz w:val="20"/>
          <w:szCs w:val="20"/>
        </w:rPr>
        <w:t xml:space="preserve"> der Zusammenarbeit im Ostseeraum im Hinblick auf die COVID-</w:t>
      </w:r>
      <w:r w:rsidR="00C72C31">
        <w:rPr>
          <w:rFonts w:ascii="Verdana" w:hAnsi="Verdana" w:cs="Arial"/>
          <w:sz w:val="20"/>
          <w:szCs w:val="20"/>
        </w:rPr>
        <w:t>19-Pandemie und ihre Folgen; des</w:t>
      </w:r>
      <w:r w:rsidRPr="00D17EE7">
        <w:rPr>
          <w:rFonts w:ascii="Verdana" w:hAnsi="Verdana" w:cs="Arial"/>
          <w:sz w:val="20"/>
          <w:szCs w:val="20"/>
        </w:rPr>
        <w:t xml:space="preserve"> Schutz</w:t>
      </w:r>
      <w:r w:rsidR="00C72C31">
        <w:rPr>
          <w:rFonts w:ascii="Verdana" w:hAnsi="Verdana" w:cs="Arial"/>
          <w:sz w:val="20"/>
          <w:szCs w:val="20"/>
        </w:rPr>
        <w:t>es</w:t>
      </w:r>
      <w:r w:rsidRPr="00D17EE7">
        <w:rPr>
          <w:rFonts w:ascii="Verdana" w:hAnsi="Verdana" w:cs="Arial"/>
          <w:sz w:val="20"/>
          <w:szCs w:val="20"/>
        </w:rPr>
        <w:t xml:space="preserve"> unserer Umwelt, Meere und Ozeane für künftige Generationen; der Entwicklung der Digitalisierung sowie der Migration und Integration;</w:t>
      </w:r>
    </w:p>
    <w:p w14:paraId="5EDCE9E6" w14:textId="77777777" w:rsidR="00D17EE7" w:rsidRPr="00D17EE7" w:rsidRDefault="00D17EE7" w:rsidP="00D17EE7">
      <w:pPr>
        <w:pStyle w:val="Listenabsatz"/>
        <w:spacing w:after="160" w:line="259" w:lineRule="auto"/>
        <w:rPr>
          <w:rFonts w:ascii="Verdana" w:hAnsi="Verdana"/>
          <w:sz w:val="20"/>
          <w:szCs w:val="20"/>
        </w:rPr>
      </w:pPr>
    </w:p>
    <w:p w14:paraId="5C061064" w14:textId="77777777" w:rsidR="00D17EE7" w:rsidRPr="00D17EE7" w:rsidRDefault="00D17EE7" w:rsidP="00D17EE7">
      <w:pPr>
        <w:rPr>
          <w:rFonts w:ascii="Verdana" w:hAnsi="Verdana" w:cs="Arial"/>
          <w:b/>
          <w:sz w:val="20"/>
          <w:szCs w:val="20"/>
        </w:rPr>
      </w:pPr>
      <w:r w:rsidRPr="00D17EE7">
        <w:rPr>
          <w:rFonts w:ascii="Verdana" w:hAnsi="Verdana" w:cs="Arial"/>
          <w:b/>
          <w:sz w:val="20"/>
          <w:szCs w:val="20"/>
        </w:rPr>
        <w:t xml:space="preserve">fordern die Regierungen der Ostseeregion, den Ostseerat und die Europäische Union auf, </w:t>
      </w:r>
    </w:p>
    <w:p w14:paraId="6FAFC57C" w14:textId="77777777" w:rsidR="00D17EE7" w:rsidRPr="00D17EE7" w:rsidRDefault="00D17EE7" w:rsidP="00D17EE7">
      <w:pPr>
        <w:rPr>
          <w:rFonts w:ascii="Verdana" w:hAnsi="Verdana" w:cs="Arial"/>
          <w:b/>
          <w:sz w:val="20"/>
          <w:szCs w:val="20"/>
        </w:rPr>
      </w:pPr>
    </w:p>
    <w:p w14:paraId="45381B3C" w14:textId="77777777" w:rsidR="00D17EE7" w:rsidRDefault="00D17EE7" w:rsidP="00D17EE7">
      <w:pPr>
        <w:rPr>
          <w:rFonts w:ascii="Verdana" w:hAnsi="Verdana" w:cs="Arial"/>
          <w:b/>
          <w:sz w:val="20"/>
          <w:szCs w:val="20"/>
        </w:rPr>
      </w:pPr>
      <w:r w:rsidRPr="00D17EE7">
        <w:rPr>
          <w:rFonts w:ascii="Verdana" w:hAnsi="Verdana" w:cs="Arial"/>
          <w:b/>
          <w:sz w:val="20"/>
          <w:szCs w:val="20"/>
        </w:rPr>
        <w:t xml:space="preserve">im Hinblick auf die Zusammenarbeit in der Region im Lichte der COVID-19 Pandemie und ihrer Folgen, </w:t>
      </w:r>
    </w:p>
    <w:p w14:paraId="1479A9F0" w14:textId="77777777" w:rsidR="00D17EE7" w:rsidRPr="00D17EE7" w:rsidRDefault="00D17EE7" w:rsidP="00D17EE7">
      <w:pPr>
        <w:rPr>
          <w:rFonts w:ascii="Verdana" w:hAnsi="Verdana" w:cs="Arial"/>
          <w:b/>
          <w:sz w:val="20"/>
          <w:szCs w:val="20"/>
        </w:rPr>
      </w:pPr>
    </w:p>
    <w:p w14:paraId="1A790733" w14:textId="77777777" w:rsidR="00D17EE7" w:rsidRPr="00D17EE7" w:rsidRDefault="00D17EE7" w:rsidP="00D17EE7">
      <w:pPr>
        <w:rPr>
          <w:rFonts w:ascii="Verdana" w:hAnsi="Verdana"/>
          <w:b/>
          <w:sz w:val="20"/>
          <w:szCs w:val="20"/>
        </w:rPr>
      </w:pPr>
    </w:p>
    <w:p w14:paraId="3015ED0B" w14:textId="75837F01" w:rsidR="00D17EE7" w:rsidRPr="00D17EE7" w:rsidRDefault="00D17EE7" w:rsidP="00D17EE7">
      <w:pPr>
        <w:pStyle w:val="Listenabsatz"/>
        <w:numPr>
          <w:ilvl w:val="0"/>
          <w:numId w:val="3"/>
        </w:numPr>
        <w:rPr>
          <w:rFonts w:ascii="Verdana" w:hAnsi="Verdana" w:cs="Arial"/>
          <w:sz w:val="20"/>
          <w:szCs w:val="20"/>
        </w:rPr>
      </w:pPr>
      <w:r w:rsidRPr="00D17EE7">
        <w:rPr>
          <w:rFonts w:ascii="Verdana" w:hAnsi="Verdana" w:cs="Arial"/>
          <w:sz w:val="20"/>
          <w:szCs w:val="20"/>
        </w:rPr>
        <w:t xml:space="preserve">die einschlägige Zusammenarbeit im Rahmen der </w:t>
      </w:r>
      <w:r w:rsidRPr="00AD7F06">
        <w:rPr>
          <w:rFonts w:ascii="Verdana" w:hAnsi="Verdana" w:cs="Arial"/>
          <w:sz w:val="20"/>
          <w:szCs w:val="20"/>
        </w:rPr>
        <w:t xml:space="preserve">Partnerschaft der Nördlichen Dimension </w:t>
      </w:r>
      <w:r w:rsidR="002050A8" w:rsidRPr="00AD7F06">
        <w:rPr>
          <w:rFonts w:ascii="Verdana" w:hAnsi="Verdana" w:cs="Arial"/>
          <w:sz w:val="20"/>
          <w:szCs w:val="20"/>
        </w:rPr>
        <w:t>für öffentliche</w:t>
      </w:r>
      <w:r w:rsidRPr="00AD7F06">
        <w:rPr>
          <w:rFonts w:ascii="Verdana" w:hAnsi="Verdana" w:cs="Arial"/>
          <w:sz w:val="20"/>
          <w:szCs w:val="20"/>
        </w:rPr>
        <w:t xml:space="preserve"> Gesundheit und </w:t>
      </w:r>
      <w:proofErr w:type="spellStart"/>
      <w:r w:rsidR="002050A8" w:rsidRPr="00AD7F06">
        <w:rPr>
          <w:rFonts w:ascii="Verdana" w:hAnsi="Verdana" w:cs="Arial"/>
          <w:sz w:val="20"/>
          <w:szCs w:val="20"/>
        </w:rPr>
        <w:t>soziales</w:t>
      </w:r>
      <w:proofErr w:type="spellEnd"/>
      <w:r w:rsidR="002050A8" w:rsidRPr="00AD7F06">
        <w:rPr>
          <w:rFonts w:ascii="Verdana" w:hAnsi="Verdana" w:cs="Arial"/>
          <w:sz w:val="20"/>
          <w:szCs w:val="20"/>
        </w:rPr>
        <w:t xml:space="preserve"> Wohlergehen</w:t>
      </w:r>
      <w:r w:rsidRPr="00D17EE7">
        <w:rPr>
          <w:rFonts w:ascii="Verdana" w:hAnsi="Verdana" w:cs="Arial"/>
          <w:sz w:val="20"/>
          <w:szCs w:val="20"/>
        </w:rPr>
        <w:t xml:space="preserve"> </w:t>
      </w:r>
      <w:r w:rsidR="00AD7F06">
        <w:rPr>
          <w:rFonts w:ascii="Verdana" w:hAnsi="Verdana" w:cs="Arial"/>
          <w:sz w:val="20"/>
          <w:szCs w:val="20"/>
        </w:rPr>
        <w:t xml:space="preserve">(NDPHS) </w:t>
      </w:r>
      <w:r w:rsidRPr="00D17EE7">
        <w:rPr>
          <w:rFonts w:ascii="Verdana" w:hAnsi="Verdana" w:cs="Arial"/>
          <w:sz w:val="20"/>
          <w:szCs w:val="20"/>
        </w:rPr>
        <w:t xml:space="preserve">fortzusetzen, um die Folgen der COVID-19-Pandemie so </w:t>
      </w:r>
      <w:r w:rsidR="00A06A8A">
        <w:rPr>
          <w:rFonts w:ascii="Verdana" w:hAnsi="Verdana" w:cs="Arial"/>
          <w:sz w:val="20"/>
          <w:szCs w:val="20"/>
        </w:rPr>
        <w:t>effektiv</w:t>
      </w:r>
      <w:r w:rsidR="00A06A8A" w:rsidRPr="00D17EE7">
        <w:rPr>
          <w:rFonts w:ascii="Verdana" w:hAnsi="Verdana" w:cs="Arial"/>
          <w:sz w:val="20"/>
          <w:szCs w:val="20"/>
        </w:rPr>
        <w:t xml:space="preserve"> </w:t>
      </w:r>
      <w:r w:rsidRPr="00D17EE7">
        <w:rPr>
          <w:rFonts w:ascii="Verdana" w:hAnsi="Verdana" w:cs="Arial"/>
          <w:sz w:val="20"/>
          <w:szCs w:val="20"/>
        </w:rPr>
        <w:t xml:space="preserve">wie möglich </w:t>
      </w:r>
      <w:r w:rsidR="00AD7F06">
        <w:rPr>
          <w:rFonts w:ascii="Verdana" w:hAnsi="Verdana" w:cs="Arial"/>
          <w:sz w:val="20"/>
          <w:szCs w:val="20"/>
        </w:rPr>
        <w:t>zu mildern</w:t>
      </w:r>
      <w:r w:rsidRPr="00D17EE7">
        <w:rPr>
          <w:rFonts w:ascii="Verdana" w:hAnsi="Verdana" w:cs="Arial"/>
          <w:sz w:val="20"/>
          <w:szCs w:val="20"/>
        </w:rPr>
        <w:t xml:space="preserve">, und diese Zusammenarbeit zu intensivieren, um künftige Pandemien durch den Austausch von Informationen und bewährten </w:t>
      </w:r>
      <w:r w:rsidR="005C4887">
        <w:rPr>
          <w:rFonts w:ascii="Verdana" w:hAnsi="Verdana" w:cs="Arial"/>
          <w:sz w:val="20"/>
          <w:szCs w:val="20"/>
        </w:rPr>
        <w:t>Praktiken</w:t>
      </w:r>
      <w:r w:rsidRPr="00D17EE7">
        <w:rPr>
          <w:rFonts w:ascii="Verdana" w:hAnsi="Verdana" w:cs="Arial"/>
          <w:sz w:val="20"/>
          <w:szCs w:val="20"/>
        </w:rPr>
        <w:t xml:space="preserve"> so </w:t>
      </w:r>
      <w:r w:rsidR="00A06A8A">
        <w:rPr>
          <w:rFonts w:ascii="Verdana" w:hAnsi="Verdana" w:cs="Arial"/>
          <w:sz w:val="20"/>
          <w:szCs w:val="20"/>
        </w:rPr>
        <w:t>wirksam</w:t>
      </w:r>
      <w:r w:rsidR="00A06A8A" w:rsidRPr="00D17EE7">
        <w:rPr>
          <w:rFonts w:ascii="Verdana" w:hAnsi="Verdana" w:cs="Arial"/>
          <w:sz w:val="20"/>
          <w:szCs w:val="20"/>
        </w:rPr>
        <w:t xml:space="preserve"> </w:t>
      </w:r>
      <w:r w:rsidRPr="00D17EE7">
        <w:rPr>
          <w:rFonts w:ascii="Verdana" w:hAnsi="Verdana" w:cs="Arial"/>
          <w:sz w:val="20"/>
          <w:szCs w:val="20"/>
        </w:rPr>
        <w:t>wie möglich zu bekämpfen;</w:t>
      </w:r>
    </w:p>
    <w:p w14:paraId="54339DB4" w14:textId="77777777" w:rsidR="00D17EE7" w:rsidRPr="00D17EE7" w:rsidRDefault="00D17EE7" w:rsidP="00D17EE7">
      <w:pPr>
        <w:pStyle w:val="Listenabsatz"/>
        <w:rPr>
          <w:rFonts w:ascii="Verdana" w:hAnsi="Verdana" w:cs="Arial"/>
          <w:sz w:val="20"/>
          <w:szCs w:val="20"/>
        </w:rPr>
      </w:pPr>
    </w:p>
    <w:p w14:paraId="5B35F302" w14:textId="27F98FF3" w:rsidR="00D17EE7" w:rsidRPr="00D17EE7" w:rsidRDefault="00D17EE7" w:rsidP="00D17EE7">
      <w:pPr>
        <w:pStyle w:val="Listenabsatz"/>
        <w:numPr>
          <w:ilvl w:val="0"/>
          <w:numId w:val="3"/>
        </w:numPr>
        <w:rPr>
          <w:rFonts w:ascii="Verdana" w:hAnsi="Verdana" w:cs="Arial"/>
          <w:sz w:val="20"/>
          <w:szCs w:val="20"/>
        </w:rPr>
      </w:pPr>
      <w:r w:rsidRPr="00D17EE7">
        <w:rPr>
          <w:rFonts w:ascii="Verdana" w:hAnsi="Verdana" w:cs="Arial"/>
          <w:sz w:val="20"/>
          <w:szCs w:val="20"/>
        </w:rPr>
        <w:t xml:space="preserve">den Aufbau von bereichsübergreifenden und transnationalen Referenzprojekten für Kooperationen und Innovationen in den Gesundheitswissenschaften zu intensivieren, mit besonderem </w:t>
      </w:r>
      <w:r w:rsidR="00A72E6A">
        <w:rPr>
          <w:rFonts w:ascii="Verdana" w:hAnsi="Verdana" w:cs="Arial"/>
          <w:sz w:val="20"/>
          <w:szCs w:val="20"/>
        </w:rPr>
        <w:t>Fokus</w:t>
      </w:r>
      <w:r w:rsidR="000B5BDB">
        <w:rPr>
          <w:rFonts w:ascii="Verdana" w:hAnsi="Verdana" w:cs="Arial"/>
          <w:sz w:val="20"/>
          <w:szCs w:val="20"/>
        </w:rPr>
        <w:t xml:space="preserve"> auf </w:t>
      </w:r>
      <w:r w:rsidR="00A06A8A">
        <w:rPr>
          <w:rFonts w:ascii="Verdana" w:hAnsi="Verdana" w:cs="Arial"/>
          <w:sz w:val="20"/>
          <w:szCs w:val="20"/>
        </w:rPr>
        <w:t>der</w:t>
      </w:r>
      <w:r w:rsidR="00A06A8A" w:rsidRPr="00D17EE7">
        <w:rPr>
          <w:rFonts w:ascii="Verdana" w:hAnsi="Verdana" w:cs="Arial"/>
          <w:sz w:val="20"/>
          <w:szCs w:val="20"/>
        </w:rPr>
        <w:t xml:space="preserve"> </w:t>
      </w:r>
      <w:r w:rsidRPr="00D17EE7">
        <w:rPr>
          <w:rFonts w:ascii="Verdana" w:hAnsi="Verdana" w:cs="Arial"/>
          <w:sz w:val="20"/>
          <w:szCs w:val="20"/>
        </w:rPr>
        <w:t>Früh</w:t>
      </w:r>
      <w:r w:rsidR="000B5BDB">
        <w:rPr>
          <w:rFonts w:ascii="Verdana" w:hAnsi="Verdana" w:cs="Arial"/>
          <w:sz w:val="20"/>
          <w:szCs w:val="20"/>
        </w:rPr>
        <w:t>warnung und Prävention sowie d</w:t>
      </w:r>
      <w:r w:rsidR="00A06A8A">
        <w:rPr>
          <w:rFonts w:ascii="Verdana" w:hAnsi="Verdana" w:cs="Arial"/>
          <w:sz w:val="20"/>
          <w:szCs w:val="20"/>
        </w:rPr>
        <w:t>er</w:t>
      </w:r>
      <w:r w:rsidR="000B5BDB">
        <w:rPr>
          <w:rFonts w:ascii="Verdana" w:hAnsi="Verdana" w:cs="Arial"/>
          <w:sz w:val="20"/>
          <w:szCs w:val="20"/>
        </w:rPr>
        <w:t xml:space="preserve"> hinreichende</w:t>
      </w:r>
      <w:r w:rsidR="00A06A8A">
        <w:rPr>
          <w:rFonts w:ascii="Verdana" w:hAnsi="Verdana" w:cs="Arial"/>
          <w:sz w:val="20"/>
          <w:szCs w:val="20"/>
        </w:rPr>
        <w:t>n</w:t>
      </w:r>
      <w:r w:rsidRPr="00D17EE7">
        <w:rPr>
          <w:rFonts w:ascii="Verdana" w:hAnsi="Verdana" w:cs="Arial"/>
          <w:sz w:val="20"/>
          <w:szCs w:val="20"/>
        </w:rPr>
        <w:t xml:space="preserve"> Bekämpfung von Pandemien, um die öffentliche Gesundheit auf hohem und nachhaltigem Niveau zu fördern und den Ostseeraum zu einer weltweit führenden und wohlhabenden Metaregion </w:t>
      </w:r>
      <w:r w:rsidR="002C6E0F">
        <w:rPr>
          <w:rFonts w:ascii="Verdana" w:hAnsi="Verdana" w:cs="Arial"/>
          <w:sz w:val="20"/>
          <w:szCs w:val="20"/>
        </w:rPr>
        <w:t>im Gesundheitsbereich</w:t>
      </w:r>
      <w:r w:rsidRPr="00D17EE7">
        <w:rPr>
          <w:rFonts w:ascii="Verdana" w:hAnsi="Verdana" w:cs="Arial"/>
          <w:sz w:val="20"/>
          <w:szCs w:val="20"/>
        </w:rPr>
        <w:t xml:space="preserve"> zu machen;</w:t>
      </w:r>
    </w:p>
    <w:p w14:paraId="3FB86DCA" w14:textId="77777777" w:rsidR="00D17EE7" w:rsidRPr="00D17EE7" w:rsidRDefault="00D17EE7" w:rsidP="00D17EE7">
      <w:pPr>
        <w:pStyle w:val="Listenabsatz"/>
        <w:rPr>
          <w:rFonts w:ascii="Verdana" w:hAnsi="Verdana" w:cs="Arial"/>
          <w:sz w:val="20"/>
          <w:szCs w:val="20"/>
        </w:rPr>
      </w:pPr>
    </w:p>
    <w:p w14:paraId="2158C4F6" w14:textId="4C923D72" w:rsidR="00D17EE7" w:rsidRPr="001D22B5" w:rsidRDefault="00AB1936" w:rsidP="001D22B5">
      <w:pPr>
        <w:pStyle w:val="Listenabsatz"/>
        <w:numPr>
          <w:ilvl w:val="0"/>
          <w:numId w:val="3"/>
        </w:numPr>
        <w:rPr>
          <w:rFonts w:ascii="Verdana" w:hAnsi="Verdana" w:cs="Arial"/>
          <w:sz w:val="20"/>
          <w:szCs w:val="20"/>
        </w:rPr>
      </w:pPr>
      <w:r>
        <w:rPr>
          <w:rFonts w:ascii="Verdana" w:hAnsi="Verdana" w:cs="Arial"/>
          <w:sz w:val="20"/>
          <w:szCs w:val="20"/>
        </w:rPr>
        <w:t>Strategien und Projekte</w:t>
      </w:r>
      <w:r w:rsidR="00D17EE7" w:rsidRPr="00D17EE7">
        <w:rPr>
          <w:rFonts w:ascii="Verdana" w:hAnsi="Verdana" w:cs="Arial"/>
          <w:sz w:val="20"/>
          <w:szCs w:val="20"/>
        </w:rPr>
        <w:t xml:space="preserve"> </w:t>
      </w:r>
      <w:r w:rsidR="001D22B5">
        <w:rPr>
          <w:rFonts w:ascii="Verdana" w:hAnsi="Verdana" w:cs="Arial"/>
          <w:sz w:val="20"/>
          <w:szCs w:val="20"/>
        </w:rPr>
        <w:t>im Bereich der D</w:t>
      </w:r>
      <w:r w:rsidR="00D17EE7" w:rsidRPr="00D17EE7">
        <w:rPr>
          <w:rFonts w:ascii="Verdana" w:hAnsi="Verdana" w:cs="Arial"/>
          <w:sz w:val="20"/>
          <w:szCs w:val="20"/>
        </w:rPr>
        <w:t xml:space="preserve">igitalen Gesundheit durchzusetzen, welche die </w:t>
      </w:r>
      <w:r w:rsidR="00D17EE7">
        <w:rPr>
          <w:rFonts w:ascii="Verdana" w:hAnsi="Verdana" w:cs="Arial"/>
          <w:sz w:val="20"/>
          <w:szCs w:val="20"/>
        </w:rPr>
        <w:t>Erfassung</w:t>
      </w:r>
      <w:r w:rsidR="00D17EE7" w:rsidRPr="00D17EE7">
        <w:rPr>
          <w:rFonts w:ascii="Verdana" w:hAnsi="Verdana" w:cs="Arial"/>
          <w:sz w:val="20"/>
          <w:szCs w:val="20"/>
        </w:rPr>
        <w:t xml:space="preserve"> von E-Medizin-Initiativen beinhalten, </w:t>
      </w:r>
      <w:r w:rsidR="00A06A8A">
        <w:rPr>
          <w:rFonts w:ascii="Verdana" w:hAnsi="Verdana" w:cs="Arial"/>
          <w:sz w:val="20"/>
          <w:szCs w:val="20"/>
        </w:rPr>
        <w:t>welche</w:t>
      </w:r>
      <w:r w:rsidR="00A06A8A" w:rsidRPr="00D17EE7">
        <w:rPr>
          <w:rFonts w:ascii="Verdana" w:hAnsi="Verdana" w:cs="Arial"/>
          <w:sz w:val="20"/>
          <w:szCs w:val="20"/>
        </w:rPr>
        <w:t xml:space="preserve"> </w:t>
      </w:r>
      <w:r w:rsidR="00D17EE7" w:rsidRPr="00D17EE7">
        <w:rPr>
          <w:rFonts w:ascii="Verdana" w:hAnsi="Verdana" w:cs="Arial"/>
          <w:sz w:val="20"/>
          <w:szCs w:val="20"/>
        </w:rPr>
        <w:t xml:space="preserve">Gesundheitsinitiativen in die Häuser der Menschen bringen und </w:t>
      </w:r>
      <w:r w:rsidR="001D22B5">
        <w:rPr>
          <w:rFonts w:ascii="Verdana" w:hAnsi="Verdana" w:cs="Arial"/>
          <w:sz w:val="20"/>
          <w:szCs w:val="20"/>
        </w:rPr>
        <w:t>Sozialfürsorge</w:t>
      </w:r>
      <w:r w:rsidR="00D17EE7" w:rsidRPr="00D17EE7">
        <w:rPr>
          <w:rFonts w:ascii="Verdana" w:hAnsi="Verdana" w:cs="Arial"/>
          <w:sz w:val="20"/>
          <w:szCs w:val="20"/>
        </w:rPr>
        <w:t xml:space="preserve"> aus der Ferne ermöglichen, wo persönliche Kontakte durch virtuelle Lösungen ersetzt werden können, und </w:t>
      </w:r>
      <w:r w:rsidR="001D22B5">
        <w:rPr>
          <w:rFonts w:ascii="Verdana" w:hAnsi="Verdana" w:cs="Arial"/>
          <w:sz w:val="20"/>
          <w:szCs w:val="20"/>
        </w:rPr>
        <w:t>weitere Investitionen in E</w:t>
      </w:r>
      <w:r w:rsidR="00D17EE7" w:rsidRPr="001D22B5">
        <w:rPr>
          <w:rFonts w:ascii="Verdana" w:hAnsi="Verdana" w:cs="Arial"/>
          <w:sz w:val="20"/>
          <w:szCs w:val="20"/>
        </w:rPr>
        <w:t>-</w:t>
      </w:r>
      <w:proofErr w:type="spellStart"/>
      <w:r w:rsidR="001D22B5">
        <w:rPr>
          <w:rFonts w:ascii="Verdana" w:hAnsi="Verdana" w:cs="Arial"/>
          <w:sz w:val="20"/>
          <w:szCs w:val="20"/>
        </w:rPr>
        <w:t>Health</w:t>
      </w:r>
      <w:proofErr w:type="spellEnd"/>
      <w:r w:rsidR="00D17EE7" w:rsidRPr="001D22B5">
        <w:rPr>
          <w:rFonts w:ascii="Verdana" w:hAnsi="Verdana" w:cs="Arial"/>
          <w:sz w:val="20"/>
          <w:szCs w:val="20"/>
        </w:rPr>
        <w:t xml:space="preserve"> zu erhöhen</w:t>
      </w:r>
      <w:r w:rsidR="001D22B5">
        <w:rPr>
          <w:rFonts w:ascii="Verdana" w:hAnsi="Verdana" w:cs="Arial"/>
          <w:sz w:val="20"/>
          <w:szCs w:val="20"/>
        </w:rPr>
        <w:t xml:space="preserve"> –</w:t>
      </w:r>
      <w:r w:rsidR="00D17EE7" w:rsidRPr="001D22B5">
        <w:rPr>
          <w:rFonts w:ascii="Verdana" w:hAnsi="Verdana" w:cs="Arial"/>
          <w:sz w:val="20"/>
          <w:szCs w:val="20"/>
        </w:rPr>
        <w:t xml:space="preserve"> auch für deren Einsatz bei künftigen Pandemien;</w:t>
      </w:r>
    </w:p>
    <w:p w14:paraId="6588DE64" w14:textId="77777777" w:rsidR="00D17EE7" w:rsidRPr="00D17EE7" w:rsidRDefault="00D17EE7" w:rsidP="00D17EE7">
      <w:pPr>
        <w:pStyle w:val="Listenabsatz"/>
        <w:rPr>
          <w:rFonts w:ascii="Verdana" w:hAnsi="Verdana" w:cs="Arial"/>
          <w:sz w:val="20"/>
          <w:szCs w:val="20"/>
        </w:rPr>
      </w:pPr>
    </w:p>
    <w:p w14:paraId="4EC8980A" w14:textId="1F383F57" w:rsidR="00D17EE7" w:rsidRPr="00D17EE7" w:rsidRDefault="00D17EE7" w:rsidP="00D17EE7">
      <w:pPr>
        <w:pStyle w:val="Listenabsatz"/>
        <w:numPr>
          <w:ilvl w:val="0"/>
          <w:numId w:val="3"/>
        </w:numPr>
        <w:rPr>
          <w:rFonts w:ascii="Verdana" w:hAnsi="Verdana" w:cs="Arial"/>
          <w:sz w:val="20"/>
          <w:szCs w:val="20"/>
        </w:rPr>
      </w:pPr>
      <w:r w:rsidRPr="00D17EE7">
        <w:rPr>
          <w:rFonts w:ascii="Verdana" w:hAnsi="Verdana" w:cs="Arial"/>
          <w:sz w:val="20"/>
          <w:szCs w:val="20"/>
        </w:rPr>
        <w:t>die umfassenden und systematischen Bemühungen fortzusetzen, um die Ostseekooperation zu stärken und ihre Widerstandsfähigkeit in einer sich verändernden Welt zu erhöhen. Diese Schritte können die Ausarbeitung eines Strategiedokuments für die Entwicklung de</w:t>
      </w:r>
      <w:r w:rsidR="00ED4C3D">
        <w:rPr>
          <w:rFonts w:ascii="Verdana" w:hAnsi="Verdana" w:cs="Arial"/>
          <w:sz w:val="20"/>
          <w:szCs w:val="20"/>
        </w:rPr>
        <w:t>s Ostseeraums bis 2030,</w:t>
      </w:r>
      <w:r w:rsidRPr="00D17EE7">
        <w:rPr>
          <w:rFonts w:ascii="Verdana" w:hAnsi="Verdana" w:cs="Arial"/>
          <w:sz w:val="20"/>
          <w:szCs w:val="20"/>
        </w:rPr>
        <w:t xml:space="preserve"> eine </w:t>
      </w:r>
      <w:r w:rsidR="00ED4C3D">
        <w:rPr>
          <w:rFonts w:ascii="Verdana" w:hAnsi="Verdana" w:cs="Arial"/>
          <w:sz w:val="20"/>
          <w:szCs w:val="20"/>
        </w:rPr>
        <w:t>Prüfung der Möglichkeit,</w:t>
      </w:r>
      <w:r w:rsidRPr="00D17EE7">
        <w:rPr>
          <w:rFonts w:ascii="Verdana" w:hAnsi="Verdana" w:cs="Arial"/>
          <w:sz w:val="20"/>
          <w:szCs w:val="20"/>
        </w:rPr>
        <w:t xml:space="preserve"> wie </w:t>
      </w:r>
      <w:r w:rsidR="00ED4C3D">
        <w:rPr>
          <w:rFonts w:ascii="Verdana" w:hAnsi="Verdana" w:cs="Arial"/>
          <w:sz w:val="20"/>
          <w:szCs w:val="20"/>
        </w:rPr>
        <w:t>die Gipfelt</w:t>
      </w:r>
      <w:r w:rsidRPr="00D17EE7">
        <w:rPr>
          <w:rFonts w:ascii="Verdana" w:hAnsi="Verdana" w:cs="Arial"/>
          <w:sz w:val="20"/>
          <w:szCs w:val="20"/>
        </w:rPr>
        <w:t xml:space="preserve">reffen der Regierungschefs der </w:t>
      </w:r>
      <w:r w:rsidRPr="00D17EE7">
        <w:rPr>
          <w:rFonts w:ascii="Verdana" w:hAnsi="Verdana" w:cs="Arial"/>
          <w:sz w:val="20"/>
          <w:szCs w:val="20"/>
        </w:rPr>
        <w:lastRenderedPageBreak/>
        <w:t xml:space="preserve">Ostseeanrainerstaaten wiederaufgenommen werden können, und die Einrichtung einer </w:t>
      </w:r>
      <w:r w:rsidR="00ED4C3D">
        <w:rPr>
          <w:rFonts w:ascii="Verdana" w:hAnsi="Verdana" w:cs="Arial"/>
          <w:sz w:val="20"/>
          <w:szCs w:val="20"/>
        </w:rPr>
        <w:t>fokussierten</w:t>
      </w:r>
      <w:r w:rsidRPr="00D17EE7">
        <w:rPr>
          <w:rFonts w:ascii="Verdana" w:hAnsi="Verdana" w:cs="Arial"/>
          <w:sz w:val="20"/>
          <w:szCs w:val="20"/>
        </w:rPr>
        <w:t xml:space="preserve"> vertikalen </w:t>
      </w:r>
      <w:r w:rsidR="00ED4C3D">
        <w:rPr>
          <w:rFonts w:ascii="Verdana" w:hAnsi="Verdana" w:cs="Arial"/>
          <w:sz w:val="20"/>
          <w:szCs w:val="20"/>
        </w:rPr>
        <w:t>Kooperation</w:t>
      </w:r>
      <w:r w:rsidRPr="00D17EE7">
        <w:rPr>
          <w:rFonts w:ascii="Verdana" w:hAnsi="Verdana" w:cs="Arial"/>
          <w:sz w:val="20"/>
          <w:szCs w:val="20"/>
        </w:rPr>
        <w:t xml:space="preserve"> in der Region, </w:t>
      </w:r>
      <w:r w:rsidR="00A06A8A">
        <w:rPr>
          <w:rFonts w:ascii="Verdana" w:hAnsi="Verdana" w:cs="Arial"/>
          <w:sz w:val="20"/>
          <w:szCs w:val="20"/>
        </w:rPr>
        <w:t>welche</w:t>
      </w:r>
      <w:r w:rsidR="00A06A8A" w:rsidRPr="00D17EE7">
        <w:rPr>
          <w:rFonts w:ascii="Verdana" w:hAnsi="Verdana" w:cs="Arial"/>
          <w:sz w:val="20"/>
          <w:szCs w:val="20"/>
        </w:rPr>
        <w:t xml:space="preserve"> </w:t>
      </w:r>
      <w:r w:rsidRPr="00D17EE7">
        <w:rPr>
          <w:rFonts w:ascii="Verdana" w:hAnsi="Verdana" w:cs="Arial"/>
          <w:sz w:val="20"/>
          <w:szCs w:val="20"/>
        </w:rPr>
        <w:t>die nationale, regionale un</w:t>
      </w:r>
      <w:r w:rsidR="00ED4C3D">
        <w:rPr>
          <w:rFonts w:ascii="Verdana" w:hAnsi="Verdana" w:cs="Arial"/>
          <w:sz w:val="20"/>
          <w:szCs w:val="20"/>
        </w:rPr>
        <w:t>d kommunale Ebene umfassen würde</w:t>
      </w:r>
      <w:r w:rsidRPr="00D17EE7">
        <w:rPr>
          <w:rFonts w:ascii="Verdana" w:hAnsi="Verdana" w:cs="Arial"/>
          <w:sz w:val="20"/>
          <w:szCs w:val="20"/>
        </w:rPr>
        <w:t>, beinhalten;</w:t>
      </w:r>
    </w:p>
    <w:p w14:paraId="007D9F30" w14:textId="77777777" w:rsidR="00D17EE7" w:rsidRPr="00D17EE7" w:rsidRDefault="00D17EE7" w:rsidP="00D17EE7">
      <w:pPr>
        <w:pStyle w:val="Listenabsatz"/>
        <w:rPr>
          <w:rFonts w:ascii="Verdana" w:hAnsi="Verdana" w:cs="Arial"/>
          <w:sz w:val="20"/>
          <w:szCs w:val="20"/>
        </w:rPr>
      </w:pPr>
    </w:p>
    <w:p w14:paraId="6E50A8F6" w14:textId="77777777" w:rsidR="00D17EE7" w:rsidRPr="00D17EE7" w:rsidRDefault="00D17EE7" w:rsidP="00D17EE7">
      <w:pPr>
        <w:pStyle w:val="Listenabsatz"/>
        <w:numPr>
          <w:ilvl w:val="0"/>
          <w:numId w:val="3"/>
        </w:numPr>
        <w:rPr>
          <w:rFonts w:ascii="Verdana" w:hAnsi="Verdana" w:cs="Arial"/>
          <w:sz w:val="20"/>
          <w:szCs w:val="20"/>
        </w:rPr>
      </w:pPr>
      <w:r w:rsidRPr="00D17EE7">
        <w:rPr>
          <w:rFonts w:ascii="Verdana" w:hAnsi="Verdana" w:cs="Arial"/>
          <w:sz w:val="20"/>
          <w:szCs w:val="20"/>
        </w:rPr>
        <w:t xml:space="preserve">den politischen Dialog und die praktische Zusammenarbeit im Rahmen der Politik der Nördlichen Dimension und ihrer Partnerschaften fortzusetzen; die Durchführung </w:t>
      </w:r>
      <w:r w:rsidR="00713E48">
        <w:rPr>
          <w:rFonts w:ascii="Verdana" w:hAnsi="Verdana" w:cs="Arial"/>
          <w:sz w:val="20"/>
          <w:szCs w:val="20"/>
        </w:rPr>
        <w:t>der grenzüberschreitenden</w:t>
      </w:r>
      <w:r w:rsidRPr="00D17EE7">
        <w:rPr>
          <w:rFonts w:ascii="Verdana" w:hAnsi="Verdana" w:cs="Arial"/>
          <w:sz w:val="20"/>
          <w:szCs w:val="20"/>
        </w:rPr>
        <w:t xml:space="preserve"> Kooperationsprogramme</w:t>
      </w:r>
      <w:r w:rsidR="00713E48">
        <w:rPr>
          <w:rFonts w:ascii="Verdana" w:hAnsi="Verdana" w:cs="Arial"/>
          <w:sz w:val="20"/>
          <w:szCs w:val="20"/>
        </w:rPr>
        <w:t xml:space="preserve"> zwischen den EU-Mitgliedsstaaten und Russland sowie des Programms </w:t>
      </w:r>
      <w:proofErr w:type="spellStart"/>
      <w:r w:rsidR="00713E48" w:rsidRPr="00713E48">
        <w:rPr>
          <w:rFonts w:ascii="Verdana" w:hAnsi="Verdana" w:cs="Arial"/>
          <w:i/>
          <w:sz w:val="20"/>
          <w:szCs w:val="20"/>
        </w:rPr>
        <w:t>Interreg</w:t>
      </w:r>
      <w:proofErr w:type="spellEnd"/>
      <w:r w:rsidR="00713E48" w:rsidRPr="00713E48">
        <w:rPr>
          <w:rFonts w:ascii="Verdana" w:hAnsi="Verdana" w:cs="Arial"/>
          <w:i/>
          <w:sz w:val="20"/>
          <w:szCs w:val="20"/>
        </w:rPr>
        <w:t xml:space="preserve"> Baltic </w:t>
      </w:r>
      <w:proofErr w:type="spellStart"/>
      <w:r w:rsidR="00713E48" w:rsidRPr="00713E48">
        <w:rPr>
          <w:rFonts w:ascii="Verdana" w:hAnsi="Verdana" w:cs="Arial"/>
          <w:i/>
          <w:sz w:val="20"/>
          <w:szCs w:val="20"/>
        </w:rPr>
        <w:t>Sea</w:t>
      </w:r>
      <w:proofErr w:type="spellEnd"/>
      <w:r w:rsidR="00713E48" w:rsidRPr="00713E48">
        <w:rPr>
          <w:rFonts w:ascii="Verdana" w:hAnsi="Verdana" w:cs="Arial"/>
          <w:i/>
          <w:sz w:val="20"/>
          <w:szCs w:val="20"/>
        </w:rPr>
        <w:t xml:space="preserve"> Region</w:t>
      </w:r>
      <w:r w:rsidR="00AB1936">
        <w:rPr>
          <w:rFonts w:ascii="Verdana" w:hAnsi="Verdana" w:cs="Arial"/>
          <w:sz w:val="20"/>
          <w:szCs w:val="20"/>
        </w:rPr>
        <w:t xml:space="preserve"> voranzutreiben</w:t>
      </w:r>
      <w:r w:rsidR="00713E48">
        <w:rPr>
          <w:rFonts w:ascii="Verdana" w:hAnsi="Verdana" w:cs="Arial"/>
          <w:sz w:val="20"/>
          <w:szCs w:val="20"/>
        </w:rPr>
        <w:t xml:space="preserve"> und sich aktiv für die Entwicklung einer neuen Generation solcher Programme </w:t>
      </w:r>
      <w:r w:rsidRPr="00D17EE7">
        <w:rPr>
          <w:rFonts w:ascii="Verdana" w:hAnsi="Verdana" w:cs="Arial"/>
          <w:sz w:val="20"/>
          <w:szCs w:val="20"/>
        </w:rPr>
        <w:t xml:space="preserve">für den Zeitraum 2021-2027 </w:t>
      </w:r>
      <w:r w:rsidR="00713E48">
        <w:rPr>
          <w:rFonts w:ascii="Verdana" w:hAnsi="Verdana" w:cs="Arial"/>
          <w:sz w:val="20"/>
          <w:szCs w:val="20"/>
        </w:rPr>
        <w:t>einzusetzen</w:t>
      </w:r>
      <w:r w:rsidRPr="00D17EE7">
        <w:rPr>
          <w:rFonts w:ascii="Verdana" w:hAnsi="Verdana" w:cs="Arial"/>
          <w:sz w:val="20"/>
          <w:szCs w:val="20"/>
        </w:rPr>
        <w:t>; eine breitere Einbeziehung aller Partner in verschiedene Formate der Zusammenarbeit im Ostseeraum zu fördern;</w:t>
      </w:r>
    </w:p>
    <w:p w14:paraId="276ECBDF" w14:textId="77777777" w:rsidR="00D17EE7" w:rsidRPr="00D17EE7" w:rsidRDefault="00D17EE7" w:rsidP="00D17EE7">
      <w:pPr>
        <w:pStyle w:val="Listenabsatz"/>
        <w:rPr>
          <w:rFonts w:ascii="Verdana" w:hAnsi="Verdana" w:cs="Arial"/>
          <w:sz w:val="20"/>
          <w:szCs w:val="20"/>
        </w:rPr>
      </w:pPr>
    </w:p>
    <w:p w14:paraId="608FFB9B" w14:textId="53EE2455" w:rsidR="00D17EE7" w:rsidRPr="00D17EE7" w:rsidRDefault="00D17EE7" w:rsidP="00D17EE7">
      <w:pPr>
        <w:pStyle w:val="Listenabsatz"/>
        <w:numPr>
          <w:ilvl w:val="0"/>
          <w:numId w:val="3"/>
        </w:numPr>
        <w:rPr>
          <w:rFonts w:ascii="Verdana" w:hAnsi="Verdana" w:cs="Arial"/>
          <w:sz w:val="20"/>
          <w:szCs w:val="20"/>
        </w:rPr>
      </w:pPr>
      <w:r w:rsidRPr="00D17EE7">
        <w:rPr>
          <w:rFonts w:ascii="Verdana" w:hAnsi="Verdana" w:cs="Arial"/>
          <w:sz w:val="20"/>
          <w:szCs w:val="20"/>
        </w:rPr>
        <w:t xml:space="preserve">die Plattformen der bereits im Rahmen des Ostseerats durchgeführten Projekte </w:t>
      </w:r>
      <w:r w:rsidR="005C4887">
        <w:rPr>
          <w:rFonts w:ascii="Verdana" w:hAnsi="Verdana" w:cs="Arial"/>
          <w:sz w:val="20"/>
          <w:szCs w:val="20"/>
        </w:rPr>
        <w:t xml:space="preserve">zu </w:t>
      </w:r>
      <w:r w:rsidRPr="00D17EE7">
        <w:rPr>
          <w:rFonts w:ascii="Verdana" w:hAnsi="Verdana" w:cs="Arial"/>
          <w:sz w:val="20"/>
          <w:szCs w:val="20"/>
        </w:rPr>
        <w:t xml:space="preserve">nutzen, um die </w:t>
      </w:r>
      <w:r w:rsidR="005C4887">
        <w:rPr>
          <w:rFonts w:ascii="Verdana" w:hAnsi="Verdana" w:cs="Arial"/>
          <w:sz w:val="20"/>
          <w:szCs w:val="20"/>
        </w:rPr>
        <w:t>bewährte</w:t>
      </w:r>
      <w:r w:rsidR="009E5F3F">
        <w:rPr>
          <w:rFonts w:ascii="Verdana" w:hAnsi="Verdana" w:cs="Arial"/>
          <w:sz w:val="20"/>
          <w:szCs w:val="20"/>
        </w:rPr>
        <w:t>n</w:t>
      </w:r>
      <w:bookmarkStart w:id="0" w:name="_GoBack"/>
      <w:bookmarkEnd w:id="0"/>
      <w:r w:rsidR="005C4887">
        <w:rPr>
          <w:rFonts w:ascii="Verdana" w:hAnsi="Verdana" w:cs="Arial"/>
          <w:sz w:val="20"/>
          <w:szCs w:val="20"/>
        </w:rPr>
        <w:t xml:space="preserve"> Praktiken</w:t>
      </w:r>
      <w:r w:rsidRPr="00D17EE7">
        <w:rPr>
          <w:rFonts w:ascii="Verdana" w:hAnsi="Verdana" w:cs="Arial"/>
          <w:sz w:val="20"/>
          <w:szCs w:val="20"/>
        </w:rPr>
        <w:t xml:space="preserve"> der Länder der Region bei der Überwindung der Folgen der COIVD-19-Pandemie zu untersuchen und zu ermitteln, einschließlich </w:t>
      </w:r>
      <w:r>
        <w:rPr>
          <w:rFonts w:ascii="Verdana" w:hAnsi="Verdana" w:cs="Arial"/>
          <w:sz w:val="20"/>
          <w:szCs w:val="20"/>
        </w:rPr>
        <w:t xml:space="preserve">der </w:t>
      </w:r>
      <w:r w:rsidRPr="00D17EE7">
        <w:rPr>
          <w:rFonts w:ascii="Verdana" w:hAnsi="Verdana" w:cs="Arial"/>
          <w:sz w:val="20"/>
          <w:szCs w:val="20"/>
        </w:rPr>
        <w:t xml:space="preserve">Maßnahmen zur </w:t>
      </w:r>
      <w:r w:rsidR="00F326F0">
        <w:rPr>
          <w:rFonts w:ascii="Verdana" w:hAnsi="Verdana" w:cs="Arial"/>
          <w:sz w:val="20"/>
          <w:szCs w:val="20"/>
        </w:rPr>
        <w:t>Arbeitsplatzerhaltung sowohl in der</w:t>
      </w:r>
      <w:r w:rsidR="00A91921">
        <w:rPr>
          <w:rFonts w:ascii="Verdana" w:hAnsi="Verdana" w:cs="Arial"/>
          <w:sz w:val="20"/>
          <w:szCs w:val="20"/>
        </w:rPr>
        <w:t xml:space="preserve"> </w:t>
      </w:r>
      <w:r w:rsidR="00FF586D">
        <w:rPr>
          <w:rFonts w:ascii="Verdana" w:hAnsi="Verdana" w:cs="Arial"/>
          <w:sz w:val="20"/>
          <w:szCs w:val="20"/>
        </w:rPr>
        <w:t>Gesamtbevölkerung</w:t>
      </w:r>
      <w:r w:rsidRPr="00D17EE7">
        <w:rPr>
          <w:rFonts w:ascii="Verdana" w:hAnsi="Verdana" w:cs="Arial"/>
          <w:sz w:val="20"/>
          <w:szCs w:val="20"/>
        </w:rPr>
        <w:t xml:space="preserve"> als auch</w:t>
      </w:r>
      <w:r w:rsidR="00F326F0">
        <w:rPr>
          <w:rFonts w:ascii="Verdana" w:hAnsi="Verdana" w:cs="Arial"/>
          <w:sz w:val="20"/>
          <w:szCs w:val="20"/>
        </w:rPr>
        <w:t xml:space="preserve"> in Bezug auf einzelne</w:t>
      </w:r>
      <w:r w:rsidRPr="00D17EE7">
        <w:rPr>
          <w:rFonts w:ascii="Verdana" w:hAnsi="Verdana" w:cs="Arial"/>
          <w:sz w:val="20"/>
          <w:szCs w:val="20"/>
        </w:rPr>
        <w:t xml:space="preserve"> Gruppen, die auf dem Arbeitsmarkt besonders gefährdet sind;</w:t>
      </w:r>
    </w:p>
    <w:p w14:paraId="0EB46219" w14:textId="77777777" w:rsidR="00D17EE7" w:rsidRPr="00D17EE7" w:rsidRDefault="00D17EE7" w:rsidP="00D17EE7">
      <w:pPr>
        <w:pStyle w:val="Listenabsatz"/>
        <w:rPr>
          <w:rFonts w:ascii="Verdana" w:hAnsi="Verdana" w:cs="Arial"/>
          <w:sz w:val="20"/>
          <w:szCs w:val="20"/>
        </w:rPr>
      </w:pPr>
    </w:p>
    <w:p w14:paraId="39240511" w14:textId="274DF260" w:rsidR="00D17EE7" w:rsidRPr="00D17EE7" w:rsidRDefault="00D17EE7" w:rsidP="00D17EE7">
      <w:pPr>
        <w:pStyle w:val="Listenabsatz"/>
        <w:numPr>
          <w:ilvl w:val="0"/>
          <w:numId w:val="3"/>
        </w:numPr>
        <w:rPr>
          <w:rFonts w:ascii="Verdana" w:hAnsi="Verdana" w:cs="Arial"/>
          <w:sz w:val="20"/>
          <w:szCs w:val="20"/>
        </w:rPr>
      </w:pPr>
      <w:r w:rsidRPr="00D17EE7">
        <w:rPr>
          <w:rFonts w:ascii="Verdana" w:hAnsi="Verdana" w:cs="Arial"/>
          <w:sz w:val="20"/>
          <w:szCs w:val="20"/>
        </w:rPr>
        <w:t xml:space="preserve">zusammen auf gemeinsame Lösungen und </w:t>
      </w:r>
      <w:r w:rsidR="00432CDD" w:rsidRPr="00432CDD">
        <w:rPr>
          <w:rFonts w:ascii="Verdana" w:hAnsi="Verdana" w:cs="Arial"/>
          <w:sz w:val="20"/>
          <w:szCs w:val="20"/>
        </w:rPr>
        <w:t>Antworten</w:t>
      </w:r>
      <w:r w:rsidRPr="00D17EE7">
        <w:rPr>
          <w:rFonts w:ascii="Verdana" w:hAnsi="Verdana" w:cs="Arial"/>
          <w:sz w:val="20"/>
          <w:szCs w:val="20"/>
        </w:rPr>
        <w:t xml:space="preserve"> statt auf </w:t>
      </w:r>
      <w:r>
        <w:rPr>
          <w:rFonts w:ascii="Verdana" w:hAnsi="Verdana" w:cs="Arial"/>
          <w:sz w:val="20"/>
          <w:szCs w:val="20"/>
        </w:rPr>
        <w:t>strikt</w:t>
      </w:r>
      <w:r w:rsidRPr="00D17EE7">
        <w:rPr>
          <w:rFonts w:ascii="Verdana" w:hAnsi="Verdana" w:cs="Arial"/>
          <w:sz w:val="20"/>
          <w:szCs w:val="20"/>
        </w:rPr>
        <w:t xml:space="preserve"> nationale Ansätze hinzuarbeiten, </w:t>
      </w:r>
      <w:r w:rsidR="00E117AE">
        <w:rPr>
          <w:rFonts w:ascii="Verdana" w:hAnsi="Verdana" w:cs="Arial"/>
          <w:sz w:val="20"/>
          <w:szCs w:val="20"/>
        </w:rPr>
        <w:t>die</w:t>
      </w:r>
      <w:r w:rsidRPr="00D17EE7">
        <w:rPr>
          <w:rFonts w:ascii="Verdana" w:hAnsi="Verdana" w:cs="Arial"/>
          <w:sz w:val="20"/>
          <w:szCs w:val="20"/>
        </w:rPr>
        <w:t xml:space="preserve"> starke</w:t>
      </w:r>
      <w:r w:rsidR="00432CDD">
        <w:rPr>
          <w:rFonts w:ascii="Verdana" w:hAnsi="Verdana" w:cs="Arial"/>
          <w:sz w:val="20"/>
          <w:szCs w:val="20"/>
        </w:rPr>
        <w:t xml:space="preserve"> grenzüberschreitende</w:t>
      </w:r>
      <w:r w:rsidRPr="00D17EE7">
        <w:rPr>
          <w:rFonts w:ascii="Verdana" w:hAnsi="Verdana" w:cs="Arial"/>
          <w:sz w:val="20"/>
          <w:szCs w:val="20"/>
        </w:rPr>
        <w:t xml:space="preserve"> Zusammenarbeit und Koordinierung zu </w:t>
      </w:r>
      <w:r w:rsidR="00E117AE">
        <w:rPr>
          <w:rFonts w:ascii="Verdana" w:hAnsi="Verdana" w:cs="Arial"/>
          <w:sz w:val="20"/>
          <w:szCs w:val="20"/>
        </w:rPr>
        <w:t>verbessern</w:t>
      </w:r>
      <w:r w:rsidRPr="00D17EE7">
        <w:rPr>
          <w:rFonts w:ascii="Verdana" w:hAnsi="Verdana" w:cs="Arial"/>
          <w:sz w:val="20"/>
          <w:szCs w:val="20"/>
        </w:rPr>
        <w:t xml:space="preserve"> und Mobilität und Handel insbesondere in den Grenzregionen zu fördern;</w:t>
      </w:r>
    </w:p>
    <w:p w14:paraId="35E3288E" w14:textId="77777777" w:rsidR="00D17EE7" w:rsidRPr="00D17EE7" w:rsidRDefault="00D17EE7" w:rsidP="00D17EE7">
      <w:pPr>
        <w:pStyle w:val="Listenabsatz"/>
        <w:rPr>
          <w:rFonts w:ascii="Verdana" w:hAnsi="Verdana" w:cs="Arial"/>
          <w:sz w:val="20"/>
          <w:szCs w:val="20"/>
        </w:rPr>
      </w:pPr>
    </w:p>
    <w:p w14:paraId="66979F15" w14:textId="77777777" w:rsidR="00D17EE7" w:rsidRPr="00D17EE7" w:rsidRDefault="00D17EE7" w:rsidP="00D17EE7">
      <w:pPr>
        <w:pStyle w:val="Listenabsatz"/>
        <w:numPr>
          <w:ilvl w:val="0"/>
          <w:numId w:val="3"/>
        </w:numPr>
        <w:rPr>
          <w:rFonts w:ascii="Verdana" w:hAnsi="Verdana" w:cs="Arial"/>
          <w:sz w:val="20"/>
          <w:szCs w:val="20"/>
        </w:rPr>
      </w:pPr>
      <w:r w:rsidRPr="00D17EE7">
        <w:rPr>
          <w:rFonts w:ascii="Verdana" w:hAnsi="Verdana" w:cs="Arial"/>
          <w:sz w:val="20"/>
          <w:szCs w:val="20"/>
        </w:rPr>
        <w:t xml:space="preserve">die wirtschaftlichen Folgen der COVID-19-Pandemie in die Diskussion einzubeziehen und die Notwendigkeit </w:t>
      </w:r>
      <w:r w:rsidR="00A55F42">
        <w:rPr>
          <w:rFonts w:ascii="Verdana" w:hAnsi="Verdana" w:cs="Arial"/>
          <w:sz w:val="20"/>
          <w:szCs w:val="20"/>
        </w:rPr>
        <w:t>einer Bestandaufnahme der</w:t>
      </w:r>
      <w:r w:rsidRPr="00D17EE7">
        <w:rPr>
          <w:rFonts w:ascii="Verdana" w:hAnsi="Verdana" w:cs="Arial"/>
          <w:sz w:val="20"/>
          <w:szCs w:val="20"/>
        </w:rPr>
        <w:t xml:space="preserve"> verschiedenen wirtschaftlichen Rettungspakete der Regierungen der </w:t>
      </w:r>
      <w:r w:rsidR="00432CDD">
        <w:rPr>
          <w:rFonts w:ascii="Verdana" w:hAnsi="Verdana" w:cs="Arial"/>
          <w:sz w:val="20"/>
          <w:szCs w:val="20"/>
        </w:rPr>
        <w:t xml:space="preserve">BSPC Staaten </w:t>
      </w:r>
      <w:r w:rsidR="00A55F42">
        <w:rPr>
          <w:rFonts w:ascii="Verdana" w:hAnsi="Verdana" w:cs="Arial"/>
          <w:sz w:val="20"/>
          <w:szCs w:val="20"/>
        </w:rPr>
        <w:t>anzuerkennen</w:t>
      </w:r>
      <w:r w:rsidRPr="00D17EE7">
        <w:rPr>
          <w:rFonts w:ascii="Verdana" w:hAnsi="Verdana" w:cs="Arial"/>
          <w:sz w:val="20"/>
          <w:szCs w:val="20"/>
        </w:rPr>
        <w:t xml:space="preserve">, um </w:t>
      </w:r>
      <w:r w:rsidR="00103B28" w:rsidRPr="00D17EE7">
        <w:rPr>
          <w:rFonts w:ascii="Verdana" w:hAnsi="Verdana" w:cs="Arial"/>
          <w:sz w:val="20"/>
          <w:szCs w:val="20"/>
        </w:rPr>
        <w:t xml:space="preserve">die </w:t>
      </w:r>
      <w:r w:rsidR="00AB1936">
        <w:rPr>
          <w:rFonts w:ascii="Verdana" w:hAnsi="Verdana" w:cs="Arial"/>
          <w:sz w:val="20"/>
          <w:szCs w:val="20"/>
        </w:rPr>
        <w:t>unterschiedlichen</w:t>
      </w:r>
      <w:r w:rsidR="00103B28" w:rsidRPr="00D17EE7">
        <w:rPr>
          <w:rFonts w:ascii="Verdana" w:hAnsi="Verdana" w:cs="Arial"/>
          <w:sz w:val="20"/>
          <w:szCs w:val="20"/>
        </w:rPr>
        <w:t xml:space="preserve"> Strategien </w:t>
      </w:r>
      <w:r w:rsidRPr="00D17EE7">
        <w:rPr>
          <w:rFonts w:ascii="Verdana" w:hAnsi="Verdana" w:cs="Arial"/>
          <w:sz w:val="20"/>
          <w:szCs w:val="20"/>
        </w:rPr>
        <w:t xml:space="preserve">zu einem späteren Zeitpunkt </w:t>
      </w:r>
      <w:r w:rsidR="00103B28">
        <w:rPr>
          <w:rFonts w:ascii="Verdana" w:hAnsi="Verdana" w:cs="Arial"/>
          <w:sz w:val="20"/>
          <w:szCs w:val="20"/>
        </w:rPr>
        <w:t xml:space="preserve">zu </w:t>
      </w:r>
      <w:r w:rsidRPr="00D17EE7">
        <w:rPr>
          <w:rFonts w:ascii="Verdana" w:hAnsi="Verdana" w:cs="Arial"/>
          <w:sz w:val="20"/>
          <w:szCs w:val="20"/>
        </w:rPr>
        <w:t>vergleichen;</w:t>
      </w:r>
    </w:p>
    <w:p w14:paraId="61BEDE1D" w14:textId="77777777" w:rsidR="00D17EE7" w:rsidRPr="00D17EE7" w:rsidRDefault="00D17EE7" w:rsidP="00D17EE7">
      <w:pPr>
        <w:pStyle w:val="Listenabsatz"/>
        <w:rPr>
          <w:rFonts w:ascii="Verdana" w:hAnsi="Verdana" w:cs="Arial"/>
          <w:sz w:val="20"/>
          <w:szCs w:val="20"/>
        </w:rPr>
      </w:pPr>
    </w:p>
    <w:p w14:paraId="725BF78B" w14:textId="77777777" w:rsidR="00D17EE7" w:rsidRPr="00D17EE7" w:rsidRDefault="00D17EE7" w:rsidP="00D17EE7">
      <w:pPr>
        <w:pStyle w:val="Listenabsatz"/>
        <w:numPr>
          <w:ilvl w:val="0"/>
          <w:numId w:val="3"/>
        </w:numPr>
        <w:rPr>
          <w:rFonts w:ascii="Verdana" w:hAnsi="Verdana" w:cs="Arial"/>
          <w:sz w:val="20"/>
          <w:szCs w:val="20"/>
        </w:rPr>
      </w:pPr>
      <w:r w:rsidRPr="00D17EE7">
        <w:rPr>
          <w:rFonts w:ascii="Verdana" w:hAnsi="Verdana" w:cs="Arial"/>
          <w:sz w:val="20"/>
          <w:szCs w:val="20"/>
        </w:rPr>
        <w:t>einen Neustart zu fördern und zu unterstützen, bei dem Unternehmen, Geschäfte und Arbeitsplätze gesichert sind.</w:t>
      </w:r>
    </w:p>
    <w:p w14:paraId="4D3476BF" w14:textId="77777777" w:rsidR="00D17EE7" w:rsidRPr="00D17EE7" w:rsidRDefault="00D17EE7" w:rsidP="00D17EE7">
      <w:pPr>
        <w:spacing w:after="160" w:line="259" w:lineRule="auto"/>
        <w:rPr>
          <w:rFonts w:ascii="Verdana" w:hAnsi="Verdana"/>
          <w:sz w:val="20"/>
          <w:szCs w:val="20"/>
        </w:rPr>
      </w:pPr>
    </w:p>
    <w:p w14:paraId="70BC62E9" w14:textId="77777777" w:rsidR="00D17EE7" w:rsidRDefault="00D17EE7" w:rsidP="00D17EE7">
      <w:pPr>
        <w:spacing w:after="160" w:line="259" w:lineRule="auto"/>
        <w:rPr>
          <w:rFonts w:ascii="Verdana" w:hAnsi="Verdana" w:cs="Arial"/>
          <w:b/>
          <w:sz w:val="20"/>
          <w:szCs w:val="20"/>
        </w:rPr>
      </w:pPr>
      <w:r w:rsidRPr="00D17EE7">
        <w:rPr>
          <w:rFonts w:ascii="Verdana" w:hAnsi="Verdana" w:cs="Arial"/>
          <w:b/>
          <w:sz w:val="20"/>
          <w:szCs w:val="20"/>
        </w:rPr>
        <w:t xml:space="preserve">Im Hinblick auf die Bewahrung unserer Umwelt, Meere und Ozeane für künftige Generationen, </w:t>
      </w:r>
    </w:p>
    <w:p w14:paraId="062B8992" w14:textId="77777777" w:rsidR="00CE6A5B" w:rsidRPr="00D17EE7" w:rsidRDefault="00CE6A5B" w:rsidP="00D17EE7">
      <w:pPr>
        <w:spacing w:after="160" w:line="259" w:lineRule="auto"/>
        <w:rPr>
          <w:rFonts w:ascii="Verdana" w:hAnsi="Verdana" w:cs="Arial"/>
          <w:b/>
          <w:sz w:val="20"/>
          <w:szCs w:val="20"/>
        </w:rPr>
      </w:pPr>
    </w:p>
    <w:p w14:paraId="4F496281" w14:textId="77777777" w:rsidR="00D17EE7" w:rsidRPr="00D17EE7" w:rsidRDefault="00D17EE7" w:rsidP="00D17EE7">
      <w:pPr>
        <w:pStyle w:val="Listenabsatz"/>
        <w:numPr>
          <w:ilvl w:val="0"/>
          <w:numId w:val="3"/>
        </w:numPr>
        <w:spacing w:after="160" w:line="259" w:lineRule="auto"/>
        <w:rPr>
          <w:rFonts w:ascii="Verdana" w:hAnsi="Verdana" w:cs="Arial"/>
          <w:sz w:val="20"/>
          <w:szCs w:val="20"/>
        </w:rPr>
      </w:pPr>
      <w:r w:rsidRPr="00D17EE7">
        <w:rPr>
          <w:rFonts w:ascii="Verdana" w:hAnsi="Verdana" w:cs="Arial"/>
          <w:sz w:val="20"/>
          <w:szCs w:val="20"/>
        </w:rPr>
        <w:t xml:space="preserve">weiterhin Innovationen im </w:t>
      </w:r>
      <w:r w:rsidR="005D33B3">
        <w:rPr>
          <w:rFonts w:ascii="Verdana" w:hAnsi="Verdana" w:cs="Arial"/>
          <w:sz w:val="20"/>
          <w:szCs w:val="20"/>
        </w:rPr>
        <w:t>Bereich der</w:t>
      </w:r>
      <w:r w:rsidRPr="00D17EE7">
        <w:rPr>
          <w:rFonts w:ascii="Verdana" w:hAnsi="Verdana" w:cs="Arial"/>
          <w:sz w:val="20"/>
          <w:szCs w:val="20"/>
        </w:rPr>
        <w:t xml:space="preserve"> Erhaltung und nachhaltige</w:t>
      </w:r>
      <w:r w:rsidR="00D56D26">
        <w:rPr>
          <w:rFonts w:ascii="Verdana" w:hAnsi="Verdana" w:cs="Arial"/>
          <w:sz w:val="20"/>
          <w:szCs w:val="20"/>
        </w:rPr>
        <w:t>r</w:t>
      </w:r>
      <w:r w:rsidRPr="00D17EE7">
        <w:rPr>
          <w:rFonts w:ascii="Verdana" w:hAnsi="Verdana" w:cs="Arial"/>
          <w:sz w:val="20"/>
          <w:szCs w:val="20"/>
        </w:rPr>
        <w:t xml:space="preserve"> Nutzung der Ostsee </w:t>
      </w:r>
      <w:r w:rsidR="00791453">
        <w:rPr>
          <w:rFonts w:ascii="Verdana" w:hAnsi="Verdana" w:cs="Arial"/>
          <w:sz w:val="20"/>
          <w:szCs w:val="20"/>
        </w:rPr>
        <w:t xml:space="preserve">zu </w:t>
      </w:r>
      <w:r w:rsidRPr="00D17EE7">
        <w:rPr>
          <w:rFonts w:ascii="Verdana" w:hAnsi="Verdana" w:cs="Arial"/>
          <w:sz w:val="20"/>
          <w:szCs w:val="20"/>
        </w:rPr>
        <w:t xml:space="preserve">unterstützen, um </w:t>
      </w:r>
      <w:r w:rsidR="00791453">
        <w:rPr>
          <w:rFonts w:ascii="Verdana" w:hAnsi="Verdana" w:cs="Arial"/>
          <w:sz w:val="20"/>
          <w:szCs w:val="20"/>
        </w:rPr>
        <w:t>die marine Biodiversität</w:t>
      </w:r>
      <w:r w:rsidRPr="00D17EE7">
        <w:rPr>
          <w:rFonts w:ascii="Verdana" w:hAnsi="Verdana" w:cs="Arial"/>
          <w:sz w:val="20"/>
          <w:szCs w:val="20"/>
        </w:rPr>
        <w:t xml:space="preserve"> zu schützen;</w:t>
      </w:r>
    </w:p>
    <w:p w14:paraId="4D54DF1B" w14:textId="77777777" w:rsidR="00D17EE7" w:rsidRPr="00D17EE7" w:rsidRDefault="00D17EE7" w:rsidP="00D17EE7">
      <w:pPr>
        <w:pStyle w:val="Listenabsatz"/>
        <w:spacing w:after="160" w:line="259" w:lineRule="auto"/>
        <w:rPr>
          <w:rFonts w:ascii="Verdana" w:hAnsi="Verdana" w:cs="Arial"/>
          <w:sz w:val="20"/>
          <w:szCs w:val="20"/>
        </w:rPr>
      </w:pPr>
    </w:p>
    <w:p w14:paraId="4BFFEC65" w14:textId="77777777" w:rsidR="00D17EE7" w:rsidRPr="00D17EE7" w:rsidRDefault="00D17EE7" w:rsidP="00D17EE7">
      <w:pPr>
        <w:pStyle w:val="Listenabsatz"/>
        <w:numPr>
          <w:ilvl w:val="0"/>
          <w:numId w:val="3"/>
        </w:numPr>
        <w:spacing w:after="160" w:line="259" w:lineRule="auto"/>
        <w:rPr>
          <w:rFonts w:ascii="Verdana" w:hAnsi="Verdana" w:cs="Arial"/>
          <w:sz w:val="20"/>
          <w:szCs w:val="20"/>
        </w:rPr>
      </w:pPr>
      <w:r w:rsidRPr="00D17EE7">
        <w:rPr>
          <w:rFonts w:ascii="Verdana" w:hAnsi="Verdana" w:cs="Arial"/>
          <w:sz w:val="20"/>
          <w:szCs w:val="20"/>
        </w:rPr>
        <w:t>weiterhin die Ostsee als internationale</w:t>
      </w:r>
      <w:r>
        <w:rPr>
          <w:rFonts w:ascii="Verdana" w:hAnsi="Verdana" w:cs="Arial"/>
          <w:sz w:val="20"/>
          <w:szCs w:val="20"/>
        </w:rPr>
        <w:t>s</w:t>
      </w:r>
      <w:r w:rsidRPr="00D17EE7">
        <w:rPr>
          <w:rFonts w:ascii="Verdana" w:hAnsi="Verdana" w:cs="Arial"/>
          <w:sz w:val="20"/>
          <w:szCs w:val="20"/>
        </w:rPr>
        <w:t xml:space="preserve"> Gewässer mit Schifffahrtsfreiheit und in Bezug auf Umweltschutz anzuerkennen;</w:t>
      </w:r>
    </w:p>
    <w:p w14:paraId="341CB383" w14:textId="77777777" w:rsidR="00D17EE7" w:rsidRPr="00D17EE7" w:rsidRDefault="00D17EE7" w:rsidP="00D17EE7">
      <w:pPr>
        <w:pStyle w:val="Listenabsatz"/>
        <w:rPr>
          <w:rFonts w:ascii="Verdana" w:hAnsi="Verdana" w:cs="Arial"/>
          <w:sz w:val="20"/>
          <w:szCs w:val="20"/>
        </w:rPr>
      </w:pPr>
    </w:p>
    <w:p w14:paraId="4C1F73BE" w14:textId="77777777" w:rsidR="00D17EE7" w:rsidRPr="00D17EE7" w:rsidRDefault="00D17EE7" w:rsidP="00D17EE7">
      <w:pPr>
        <w:pStyle w:val="Listenabsatz"/>
        <w:numPr>
          <w:ilvl w:val="0"/>
          <w:numId w:val="3"/>
        </w:numPr>
        <w:spacing w:after="160" w:line="259" w:lineRule="auto"/>
        <w:rPr>
          <w:rFonts w:ascii="Verdana" w:hAnsi="Verdana" w:cs="Arial"/>
          <w:sz w:val="20"/>
          <w:szCs w:val="20"/>
        </w:rPr>
      </w:pPr>
      <w:r w:rsidRPr="00D17EE7">
        <w:rPr>
          <w:rFonts w:ascii="Verdana" w:hAnsi="Verdana" w:cs="Arial"/>
          <w:sz w:val="20"/>
          <w:szCs w:val="20"/>
        </w:rPr>
        <w:t xml:space="preserve">die nationalen und internationalen Bemühungen zur </w:t>
      </w:r>
      <w:r w:rsidR="00601C56">
        <w:rPr>
          <w:rFonts w:ascii="Verdana" w:hAnsi="Verdana" w:cs="Arial"/>
          <w:sz w:val="20"/>
          <w:szCs w:val="20"/>
        </w:rPr>
        <w:t>Reduktion</w:t>
      </w:r>
      <w:r w:rsidRPr="00D17EE7">
        <w:rPr>
          <w:rFonts w:ascii="Verdana" w:hAnsi="Verdana" w:cs="Arial"/>
          <w:sz w:val="20"/>
          <w:szCs w:val="20"/>
        </w:rPr>
        <w:t xml:space="preserve"> der Nährstoffemissionen in die Ostsee fortzusetzen und zu verstärken;</w:t>
      </w:r>
    </w:p>
    <w:p w14:paraId="6DA820FA" w14:textId="77777777" w:rsidR="00D17EE7" w:rsidRPr="00D17EE7" w:rsidRDefault="00D17EE7" w:rsidP="00D17EE7">
      <w:pPr>
        <w:pStyle w:val="Listenabsatz"/>
        <w:rPr>
          <w:rFonts w:ascii="Verdana" w:hAnsi="Verdana" w:cs="Arial"/>
          <w:sz w:val="20"/>
          <w:szCs w:val="20"/>
        </w:rPr>
      </w:pPr>
    </w:p>
    <w:p w14:paraId="660618AB" w14:textId="77777777" w:rsidR="00D17EE7" w:rsidRPr="00D17EE7" w:rsidRDefault="00D17EE7" w:rsidP="00D17EE7">
      <w:pPr>
        <w:pStyle w:val="Listenabsatz"/>
        <w:numPr>
          <w:ilvl w:val="0"/>
          <w:numId w:val="3"/>
        </w:numPr>
        <w:spacing w:after="160" w:line="259" w:lineRule="auto"/>
        <w:rPr>
          <w:rFonts w:ascii="Verdana" w:hAnsi="Verdana" w:cs="Arial"/>
          <w:sz w:val="20"/>
          <w:szCs w:val="20"/>
        </w:rPr>
      </w:pPr>
      <w:r w:rsidRPr="00D17EE7">
        <w:rPr>
          <w:rFonts w:ascii="Verdana" w:hAnsi="Verdana" w:cs="Arial"/>
          <w:sz w:val="20"/>
          <w:szCs w:val="20"/>
        </w:rPr>
        <w:t xml:space="preserve">eine kontinuierliche Überwachung und Analyse des Zustands des Ökosystems der Ostsee im Einklang mit den Anforderungen des </w:t>
      </w:r>
      <w:proofErr w:type="spellStart"/>
      <w:r w:rsidRPr="00D17EE7">
        <w:rPr>
          <w:rFonts w:ascii="Verdana" w:hAnsi="Verdana" w:cs="Arial"/>
          <w:sz w:val="20"/>
          <w:szCs w:val="20"/>
        </w:rPr>
        <w:t>Espoo</w:t>
      </w:r>
      <w:proofErr w:type="spellEnd"/>
      <w:r w:rsidRPr="00D17EE7">
        <w:rPr>
          <w:rFonts w:ascii="Verdana" w:hAnsi="Verdana" w:cs="Arial"/>
          <w:sz w:val="20"/>
          <w:szCs w:val="20"/>
        </w:rPr>
        <w:t xml:space="preserve">-Übereinkommens zu gewährleisten und erneut zu bekräftigen, dass Großprojekte, die erhebliche Auswirkungen auf die Ökosysteme im Ostseeraum haben, den Verpflichtungen aus den einschlägigen internationalen Verträgen und Übereinkommen, einschließlich des </w:t>
      </w:r>
      <w:proofErr w:type="spellStart"/>
      <w:r w:rsidRPr="00D17EE7">
        <w:rPr>
          <w:rFonts w:ascii="Verdana" w:hAnsi="Verdana" w:cs="Arial"/>
          <w:sz w:val="20"/>
          <w:szCs w:val="20"/>
        </w:rPr>
        <w:t>Espoo</w:t>
      </w:r>
      <w:proofErr w:type="spellEnd"/>
      <w:r w:rsidRPr="00D17EE7">
        <w:rPr>
          <w:rFonts w:ascii="Verdana" w:hAnsi="Verdana" w:cs="Arial"/>
          <w:sz w:val="20"/>
          <w:szCs w:val="20"/>
        </w:rPr>
        <w:t>-Übereinkom</w:t>
      </w:r>
      <w:r>
        <w:rPr>
          <w:rFonts w:ascii="Verdana" w:hAnsi="Verdana" w:cs="Arial"/>
          <w:sz w:val="20"/>
          <w:szCs w:val="20"/>
        </w:rPr>
        <w:t>mens und der</w:t>
      </w:r>
      <w:r w:rsidRPr="00D17EE7">
        <w:rPr>
          <w:rFonts w:ascii="Verdana" w:hAnsi="Verdana" w:cs="Arial"/>
          <w:sz w:val="20"/>
          <w:szCs w:val="20"/>
        </w:rPr>
        <w:t xml:space="preserve"> Helsinki-</w:t>
      </w:r>
      <w:r>
        <w:rPr>
          <w:rFonts w:ascii="Verdana" w:hAnsi="Verdana" w:cs="Arial"/>
          <w:sz w:val="20"/>
          <w:szCs w:val="20"/>
        </w:rPr>
        <w:t>Konvention</w:t>
      </w:r>
      <w:r w:rsidRPr="00D17EE7">
        <w:rPr>
          <w:rFonts w:ascii="Verdana" w:hAnsi="Verdana" w:cs="Arial"/>
          <w:sz w:val="20"/>
          <w:szCs w:val="20"/>
        </w:rPr>
        <w:t>, nachzukommen haben;</w:t>
      </w:r>
    </w:p>
    <w:p w14:paraId="12ED5016" w14:textId="77777777" w:rsidR="00D17EE7" w:rsidRPr="00D17EE7" w:rsidRDefault="00D17EE7" w:rsidP="00D17EE7">
      <w:pPr>
        <w:pStyle w:val="Listenabsatz"/>
        <w:rPr>
          <w:rFonts w:ascii="Verdana" w:hAnsi="Verdana" w:cs="Arial"/>
          <w:sz w:val="20"/>
          <w:szCs w:val="20"/>
        </w:rPr>
      </w:pPr>
    </w:p>
    <w:p w14:paraId="3526080D" w14:textId="77777777" w:rsidR="00D17EE7" w:rsidRPr="007D2B2D" w:rsidRDefault="00D17EE7" w:rsidP="007D2B2D">
      <w:pPr>
        <w:pStyle w:val="Listenabsatz"/>
        <w:numPr>
          <w:ilvl w:val="0"/>
          <w:numId w:val="3"/>
        </w:numPr>
        <w:spacing w:after="160" w:line="259" w:lineRule="auto"/>
        <w:rPr>
          <w:rFonts w:ascii="Verdana" w:hAnsi="Verdana" w:cs="Arial"/>
          <w:sz w:val="20"/>
          <w:szCs w:val="20"/>
        </w:rPr>
      </w:pPr>
      <w:r>
        <w:rPr>
          <w:rFonts w:ascii="Verdana" w:hAnsi="Verdana" w:cs="Arial"/>
          <w:sz w:val="20"/>
          <w:szCs w:val="20"/>
        </w:rPr>
        <w:t xml:space="preserve">zu </w:t>
      </w:r>
      <w:r w:rsidRPr="00D17EE7">
        <w:rPr>
          <w:rFonts w:ascii="Verdana" w:hAnsi="Verdana" w:cs="Arial"/>
          <w:sz w:val="20"/>
          <w:szCs w:val="20"/>
        </w:rPr>
        <w:t>unterst</w:t>
      </w:r>
      <w:r w:rsidR="00353232">
        <w:rPr>
          <w:rFonts w:ascii="Verdana" w:hAnsi="Verdana" w:cs="Arial"/>
          <w:sz w:val="20"/>
          <w:szCs w:val="20"/>
        </w:rPr>
        <w:t>ützen, dass der HELCOM-Vorsitz –</w:t>
      </w:r>
      <w:r w:rsidRPr="00D17EE7">
        <w:rPr>
          <w:rFonts w:ascii="Verdana" w:hAnsi="Verdana" w:cs="Arial"/>
          <w:sz w:val="20"/>
          <w:szCs w:val="20"/>
        </w:rPr>
        <w:t xml:space="preserve"> auch im Hinblick auf die sozio-politischen und wirtschaftlichen Folgen der COVID-19-Pa</w:t>
      </w:r>
      <w:r w:rsidR="00353232">
        <w:rPr>
          <w:rFonts w:ascii="Verdana" w:hAnsi="Verdana" w:cs="Arial"/>
          <w:sz w:val="20"/>
          <w:szCs w:val="20"/>
        </w:rPr>
        <w:t>ndemie –</w:t>
      </w:r>
      <w:r w:rsidRPr="00D17EE7">
        <w:rPr>
          <w:rFonts w:ascii="Verdana" w:hAnsi="Verdana" w:cs="Arial"/>
          <w:sz w:val="20"/>
          <w:szCs w:val="20"/>
        </w:rPr>
        <w:t xml:space="preserve"> das Ziel verfolgt, </w:t>
      </w:r>
      <w:r w:rsidRPr="00D17EE7">
        <w:rPr>
          <w:rFonts w:ascii="Verdana" w:hAnsi="Verdana" w:cs="Arial"/>
          <w:sz w:val="20"/>
          <w:szCs w:val="20"/>
        </w:rPr>
        <w:lastRenderedPageBreak/>
        <w:t xml:space="preserve">Aspekte der Nachhaltigkeit, </w:t>
      </w:r>
      <w:r w:rsidR="00E778D8">
        <w:rPr>
          <w:rFonts w:ascii="Verdana" w:hAnsi="Verdana" w:cs="Arial"/>
          <w:sz w:val="20"/>
          <w:szCs w:val="20"/>
        </w:rPr>
        <w:t xml:space="preserve">der </w:t>
      </w:r>
      <w:r w:rsidRPr="00D17EE7">
        <w:rPr>
          <w:rFonts w:ascii="Verdana" w:hAnsi="Verdana" w:cs="Arial"/>
          <w:sz w:val="20"/>
          <w:szCs w:val="20"/>
        </w:rPr>
        <w:t xml:space="preserve">Klima- und Biodiversitätsrelevanz sowie </w:t>
      </w:r>
      <w:r w:rsidR="00E778D8">
        <w:rPr>
          <w:rFonts w:ascii="Verdana" w:hAnsi="Verdana" w:cs="Arial"/>
          <w:sz w:val="20"/>
          <w:szCs w:val="20"/>
        </w:rPr>
        <w:t>der Angemessenheit</w:t>
      </w:r>
      <w:r w:rsidRPr="00D17EE7">
        <w:rPr>
          <w:rFonts w:ascii="Verdana" w:hAnsi="Verdana" w:cs="Arial"/>
          <w:sz w:val="20"/>
          <w:szCs w:val="20"/>
        </w:rPr>
        <w:t xml:space="preserve"> bei</w:t>
      </w:r>
      <w:r w:rsidR="00E778D8">
        <w:rPr>
          <w:rFonts w:ascii="Verdana" w:hAnsi="Verdana" w:cs="Arial"/>
          <w:sz w:val="20"/>
          <w:szCs w:val="20"/>
        </w:rPr>
        <w:t xml:space="preserve"> der Aktualisierung des Ostseea</w:t>
      </w:r>
      <w:r w:rsidRPr="00D17EE7">
        <w:rPr>
          <w:rFonts w:ascii="Verdana" w:hAnsi="Verdana" w:cs="Arial"/>
          <w:sz w:val="20"/>
          <w:szCs w:val="20"/>
        </w:rPr>
        <w:t>ktionsplans</w:t>
      </w:r>
      <w:r w:rsidR="00E778D8">
        <w:rPr>
          <w:rFonts w:ascii="Verdana" w:hAnsi="Verdana" w:cs="Arial"/>
          <w:sz w:val="20"/>
          <w:szCs w:val="20"/>
        </w:rPr>
        <w:t xml:space="preserve"> (BSAP)</w:t>
      </w:r>
      <w:r w:rsidRPr="00D17EE7">
        <w:rPr>
          <w:rFonts w:ascii="Verdana" w:hAnsi="Verdana" w:cs="Arial"/>
          <w:sz w:val="20"/>
          <w:szCs w:val="20"/>
        </w:rPr>
        <w:t xml:space="preserve"> und </w:t>
      </w:r>
      <w:r w:rsidR="007D2B2D">
        <w:rPr>
          <w:rFonts w:ascii="Verdana" w:hAnsi="Verdana" w:cs="Arial"/>
          <w:sz w:val="20"/>
          <w:szCs w:val="20"/>
        </w:rPr>
        <w:t xml:space="preserve">in </w:t>
      </w:r>
      <w:r w:rsidRPr="00D17EE7">
        <w:rPr>
          <w:rFonts w:ascii="Verdana" w:hAnsi="Verdana" w:cs="Arial"/>
          <w:sz w:val="20"/>
          <w:szCs w:val="20"/>
        </w:rPr>
        <w:t>künftigen HELCOM-Beschlüssen explizit zu berücksichtigen und</w:t>
      </w:r>
      <w:r w:rsidR="00353232">
        <w:rPr>
          <w:rFonts w:ascii="Verdana" w:hAnsi="Verdana" w:cs="Arial"/>
          <w:sz w:val="20"/>
          <w:szCs w:val="20"/>
        </w:rPr>
        <w:t xml:space="preserve"> – </w:t>
      </w:r>
      <w:r w:rsidRPr="00D17EE7">
        <w:rPr>
          <w:rFonts w:ascii="Verdana" w:hAnsi="Verdana" w:cs="Arial"/>
          <w:sz w:val="20"/>
          <w:szCs w:val="20"/>
        </w:rPr>
        <w:t xml:space="preserve">entsprechend </w:t>
      </w:r>
      <w:r>
        <w:rPr>
          <w:rFonts w:ascii="Verdana" w:hAnsi="Verdana" w:cs="Arial"/>
          <w:sz w:val="20"/>
          <w:szCs w:val="20"/>
        </w:rPr>
        <w:t xml:space="preserve">den Handlungsaufforderungen der Ostseeparlamentarierkonferenz </w:t>
      </w:r>
      <w:r w:rsidR="00353232">
        <w:rPr>
          <w:rFonts w:ascii="Verdana" w:hAnsi="Verdana" w:cs="Arial"/>
          <w:sz w:val="20"/>
          <w:szCs w:val="20"/>
        </w:rPr>
        <w:t xml:space="preserve">– </w:t>
      </w:r>
      <w:r w:rsidR="007D2B2D">
        <w:rPr>
          <w:rFonts w:ascii="Verdana" w:hAnsi="Verdana" w:cs="Arial"/>
          <w:sz w:val="20"/>
          <w:szCs w:val="20"/>
        </w:rPr>
        <w:t>nicht nur den Ostseea</w:t>
      </w:r>
      <w:r w:rsidRPr="007D2B2D">
        <w:rPr>
          <w:rFonts w:ascii="Verdana" w:hAnsi="Verdana" w:cs="Arial"/>
          <w:sz w:val="20"/>
          <w:szCs w:val="20"/>
        </w:rPr>
        <w:t>ktionsplan zu aktualisieren, sondern auch seine Umsetzung sichtbar zu beschleunigen und zu intensivieren, nach besten Kräften zusammenzuarbeiten, um die übermäßige Nährstoffbelastung der Ostsee weiter zu reduzieren, sowie ein weiteres Ministertreffen im Jahr 2021 anzustreben;</w:t>
      </w:r>
    </w:p>
    <w:p w14:paraId="0F0FAD12" w14:textId="77777777" w:rsidR="00D17EE7" w:rsidRPr="00D17EE7" w:rsidRDefault="00D17EE7" w:rsidP="00D17EE7">
      <w:pPr>
        <w:pStyle w:val="Listenabsatz"/>
        <w:rPr>
          <w:rFonts w:ascii="Verdana" w:hAnsi="Verdana" w:cs="Arial"/>
          <w:sz w:val="20"/>
          <w:szCs w:val="20"/>
        </w:rPr>
      </w:pPr>
    </w:p>
    <w:p w14:paraId="676F56EA" w14:textId="77777777" w:rsidR="00D17EE7" w:rsidRPr="00D17EE7" w:rsidRDefault="00D17EE7" w:rsidP="00D17EE7">
      <w:pPr>
        <w:pStyle w:val="Listenabsatz"/>
        <w:numPr>
          <w:ilvl w:val="0"/>
          <w:numId w:val="3"/>
        </w:numPr>
        <w:spacing w:after="160" w:line="259" w:lineRule="auto"/>
        <w:rPr>
          <w:rFonts w:ascii="Verdana" w:hAnsi="Verdana" w:cs="Arial"/>
          <w:sz w:val="20"/>
          <w:szCs w:val="20"/>
        </w:rPr>
      </w:pPr>
      <w:r w:rsidRPr="00D17EE7">
        <w:rPr>
          <w:rFonts w:ascii="Verdana" w:hAnsi="Verdana" w:cs="Arial"/>
          <w:sz w:val="20"/>
          <w:szCs w:val="20"/>
        </w:rPr>
        <w:t>in Anerkennung der Prioritäten</w:t>
      </w:r>
      <w:r w:rsidR="007D2B2D">
        <w:rPr>
          <w:rFonts w:ascii="Verdana" w:hAnsi="Verdana" w:cs="Arial"/>
          <w:sz w:val="20"/>
          <w:szCs w:val="20"/>
        </w:rPr>
        <w:t xml:space="preserve"> des deutschen HELCOM-Vorsitzes</w:t>
      </w:r>
      <w:r w:rsidRPr="00D17EE7">
        <w:rPr>
          <w:rFonts w:ascii="Verdana" w:hAnsi="Verdana" w:cs="Arial"/>
          <w:sz w:val="20"/>
          <w:szCs w:val="20"/>
        </w:rPr>
        <w:t xml:space="preserve"> die Bemühungen </w:t>
      </w:r>
      <w:r w:rsidR="007D2B2D">
        <w:rPr>
          <w:rFonts w:ascii="Verdana" w:hAnsi="Verdana" w:cs="Arial"/>
          <w:sz w:val="20"/>
          <w:szCs w:val="20"/>
        </w:rPr>
        <w:t>zu intensivieren, das Problem</w:t>
      </w:r>
      <w:r w:rsidRPr="00D17EE7">
        <w:rPr>
          <w:rFonts w:ascii="Verdana" w:hAnsi="Verdana" w:cs="Arial"/>
          <w:sz w:val="20"/>
          <w:szCs w:val="20"/>
        </w:rPr>
        <w:t xml:space="preserve"> der </w:t>
      </w:r>
      <w:r>
        <w:rPr>
          <w:rFonts w:ascii="Verdana" w:hAnsi="Verdana" w:cs="Arial"/>
          <w:sz w:val="20"/>
          <w:szCs w:val="20"/>
        </w:rPr>
        <w:t>Munitionsaltlasten</w:t>
      </w:r>
      <w:r w:rsidRPr="00D17EE7">
        <w:rPr>
          <w:rFonts w:ascii="Verdana" w:hAnsi="Verdana" w:cs="Arial"/>
          <w:sz w:val="20"/>
          <w:szCs w:val="20"/>
        </w:rPr>
        <w:t>, der Wracks und der Geisternetze in der Ostsee auf der Grundlage eines gemeinsamen internationalen Ansatzes</w:t>
      </w:r>
      <w:r w:rsidR="007D2B2D">
        <w:rPr>
          <w:rFonts w:ascii="Verdana" w:hAnsi="Verdana" w:cs="Arial"/>
          <w:sz w:val="20"/>
          <w:szCs w:val="20"/>
        </w:rPr>
        <w:t xml:space="preserve">, </w:t>
      </w:r>
      <w:r w:rsidR="007D2B2D" w:rsidRPr="00D17EE7">
        <w:rPr>
          <w:rFonts w:ascii="Verdana" w:hAnsi="Verdana" w:cs="Arial"/>
          <w:sz w:val="20"/>
          <w:szCs w:val="20"/>
        </w:rPr>
        <w:t xml:space="preserve">der </w:t>
      </w:r>
      <w:r w:rsidR="007D2B2D">
        <w:rPr>
          <w:rFonts w:ascii="Verdana" w:hAnsi="Verdana" w:cs="Arial"/>
          <w:sz w:val="20"/>
          <w:szCs w:val="20"/>
        </w:rPr>
        <w:t xml:space="preserve">bestehende nationale und internationalen </w:t>
      </w:r>
      <w:r w:rsidR="007D2B2D" w:rsidRPr="00D17EE7">
        <w:rPr>
          <w:rFonts w:ascii="Verdana" w:hAnsi="Verdana" w:cs="Arial"/>
          <w:sz w:val="20"/>
          <w:szCs w:val="20"/>
        </w:rPr>
        <w:t>Bemühungen und Zuständigkeiten unterstützt</w:t>
      </w:r>
      <w:r w:rsidR="007D2B2D">
        <w:rPr>
          <w:rFonts w:ascii="Verdana" w:hAnsi="Verdana" w:cs="Arial"/>
          <w:sz w:val="20"/>
          <w:szCs w:val="20"/>
        </w:rPr>
        <w:t xml:space="preserve">, zu überwachen und zu behandeln, </w:t>
      </w:r>
      <w:r>
        <w:rPr>
          <w:rFonts w:ascii="Verdana" w:hAnsi="Verdana" w:cs="Arial"/>
          <w:sz w:val="20"/>
          <w:szCs w:val="20"/>
        </w:rPr>
        <w:t>und</w:t>
      </w:r>
      <w:r w:rsidRPr="00D17EE7">
        <w:rPr>
          <w:rFonts w:ascii="Verdana" w:hAnsi="Verdana" w:cs="Arial"/>
          <w:sz w:val="20"/>
          <w:szCs w:val="20"/>
        </w:rPr>
        <w:t xml:space="preserve"> darüber hinaus die bestehenden politischen Strukturen und wissenschaftlichen Projekte zu stärken und damit den Ostseeraum auch auf dem Gebiet der Lösung der Probleme im Zusammenhang mit versenkter Munition und </w:t>
      </w:r>
      <w:r w:rsidR="00B05CF8">
        <w:rPr>
          <w:rFonts w:ascii="Verdana" w:hAnsi="Verdana" w:cs="Arial"/>
          <w:sz w:val="20"/>
          <w:szCs w:val="20"/>
        </w:rPr>
        <w:t>Blindgängern</w:t>
      </w:r>
      <w:r>
        <w:rPr>
          <w:rFonts w:ascii="Verdana" w:hAnsi="Verdana" w:cs="Arial"/>
          <w:sz w:val="20"/>
          <w:szCs w:val="20"/>
        </w:rPr>
        <w:t xml:space="preserve">, </w:t>
      </w:r>
      <w:r w:rsidRPr="00D17EE7">
        <w:rPr>
          <w:rFonts w:ascii="Verdana" w:hAnsi="Verdana" w:cs="Arial"/>
          <w:sz w:val="20"/>
          <w:szCs w:val="20"/>
        </w:rPr>
        <w:t xml:space="preserve">sowie auf dem Gebiet der Wracks und Geisternetze zu einer weltweit führenden Region zu machen. </w:t>
      </w:r>
    </w:p>
    <w:p w14:paraId="356644DF" w14:textId="77777777" w:rsidR="00D17EE7" w:rsidRPr="00D17EE7" w:rsidRDefault="00D17EE7" w:rsidP="00D17EE7">
      <w:pPr>
        <w:spacing w:after="160" w:line="259" w:lineRule="auto"/>
        <w:ind w:left="360"/>
        <w:rPr>
          <w:rFonts w:ascii="Verdana" w:hAnsi="Verdana" w:cs="Arial"/>
          <w:sz w:val="20"/>
          <w:szCs w:val="20"/>
        </w:rPr>
      </w:pPr>
    </w:p>
    <w:p w14:paraId="2F6CEE23" w14:textId="77777777" w:rsidR="00D17EE7" w:rsidRDefault="00D17EE7" w:rsidP="00D17EE7">
      <w:pPr>
        <w:spacing w:after="160" w:line="259" w:lineRule="auto"/>
        <w:ind w:left="360"/>
        <w:rPr>
          <w:rFonts w:ascii="Verdana" w:hAnsi="Verdana" w:cs="Arial"/>
          <w:b/>
          <w:sz w:val="20"/>
          <w:szCs w:val="20"/>
        </w:rPr>
      </w:pPr>
      <w:r w:rsidRPr="00D17EE7">
        <w:rPr>
          <w:rFonts w:ascii="Verdana" w:hAnsi="Verdana" w:cs="Arial"/>
          <w:b/>
          <w:sz w:val="20"/>
          <w:szCs w:val="20"/>
        </w:rPr>
        <w:t>Im Hinblick auf die Entwicklung der Digitalisierung</w:t>
      </w:r>
    </w:p>
    <w:p w14:paraId="00F8875D" w14:textId="77777777" w:rsidR="00D17EE7" w:rsidRDefault="00D17EE7" w:rsidP="00D17EE7">
      <w:pPr>
        <w:spacing w:after="160" w:line="259" w:lineRule="auto"/>
        <w:rPr>
          <w:rFonts w:ascii="Verdana" w:hAnsi="Verdana" w:cs="Arial"/>
          <w:sz w:val="20"/>
          <w:szCs w:val="20"/>
        </w:rPr>
      </w:pPr>
    </w:p>
    <w:p w14:paraId="596DBBAC" w14:textId="77777777" w:rsidR="00D17EE7" w:rsidRDefault="001134A0" w:rsidP="00D17EE7">
      <w:pPr>
        <w:pStyle w:val="Listenabsatz"/>
        <w:numPr>
          <w:ilvl w:val="0"/>
          <w:numId w:val="3"/>
        </w:numPr>
        <w:spacing w:after="160" w:line="259" w:lineRule="auto"/>
        <w:rPr>
          <w:rFonts w:ascii="Verdana" w:hAnsi="Verdana" w:cs="Arial"/>
          <w:sz w:val="20"/>
          <w:szCs w:val="20"/>
        </w:rPr>
      </w:pPr>
      <w:r>
        <w:rPr>
          <w:rFonts w:ascii="Verdana" w:hAnsi="Verdana" w:cs="Arial"/>
          <w:sz w:val="20"/>
          <w:szCs w:val="20"/>
        </w:rPr>
        <w:t>E-</w:t>
      </w:r>
      <w:proofErr w:type="spellStart"/>
      <w:r>
        <w:rPr>
          <w:rFonts w:ascii="Verdana" w:hAnsi="Verdana" w:cs="Arial"/>
          <w:sz w:val="20"/>
          <w:szCs w:val="20"/>
        </w:rPr>
        <w:t>Health</w:t>
      </w:r>
      <w:proofErr w:type="spellEnd"/>
      <w:r w:rsidR="00D17EE7" w:rsidRPr="00D17EE7">
        <w:rPr>
          <w:rFonts w:ascii="Verdana" w:hAnsi="Verdana" w:cs="Arial"/>
          <w:sz w:val="20"/>
          <w:szCs w:val="20"/>
        </w:rPr>
        <w:t xml:space="preserve"> in </w:t>
      </w:r>
      <w:r>
        <w:rPr>
          <w:rFonts w:ascii="Verdana" w:hAnsi="Verdana" w:cs="Arial"/>
          <w:sz w:val="20"/>
          <w:szCs w:val="20"/>
        </w:rPr>
        <w:t>entsprechenden</w:t>
      </w:r>
      <w:r w:rsidR="00D17EE7" w:rsidRPr="00D17EE7">
        <w:rPr>
          <w:rFonts w:ascii="Verdana" w:hAnsi="Verdana" w:cs="Arial"/>
          <w:sz w:val="20"/>
          <w:szCs w:val="20"/>
        </w:rPr>
        <w:t xml:space="preserve"> Bereichen mit großen Anstrengungen zu fördern, damit die allgemeine Gesundheitsversorgung in Pandemiesituationen so weit wie möglich aufrechterhalten werden kann;</w:t>
      </w:r>
    </w:p>
    <w:p w14:paraId="61C59ADD" w14:textId="77777777" w:rsidR="00D17EE7" w:rsidRDefault="00D17EE7" w:rsidP="00D17EE7">
      <w:pPr>
        <w:pStyle w:val="Listenabsatz"/>
        <w:spacing w:after="160" w:line="259" w:lineRule="auto"/>
        <w:rPr>
          <w:rFonts w:ascii="Verdana" w:hAnsi="Verdana" w:cs="Arial"/>
          <w:sz w:val="20"/>
          <w:szCs w:val="20"/>
        </w:rPr>
      </w:pPr>
    </w:p>
    <w:p w14:paraId="74D2EC5E" w14:textId="77777777" w:rsidR="00D17EE7" w:rsidRDefault="00D17EE7" w:rsidP="00D17EE7">
      <w:pPr>
        <w:pStyle w:val="Listenabsatz"/>
        <w:numPr>
          <w:ilvl w:val="0"/>
          <w:numId w:val="3"/>
        </w:numPr>
        <w:spacing w:after="160" w:line="259" w:lineRule="auto"/>
        <w:rPr>
          <w:rFonts w:ascii="Verdana" w:hAnsi="Verdana" w:cs="Arial"/>
          <w:sz w:val="20"/>
          <w:szCs w:val="20"/>
        </w:rPr>
      </w:pPr>
      <w:r w:rsidRPr="00D17EE7">
        <w:rPr>
          <w:rFonts w:ascii="Verdana" w:hAnsi="Verdana" w:cs="Arial"/>
          <w:sz w:val="20"/>
          <w:szCs w:val="20"/>
        </w:rPr>
        <w:t xml:space="preserve">die Erweiterung der digitalen Fähigkeiten und Ressourcen zu fördern, um die persönliche Interaktion im Ostseeraum zu </w:t>
      </w:r>
      <w:r w:rsidR="00624C4A">
        <w:rPr>
          <w:rFonts w:ascii="Verdana" w:hAnsi="Verdana" w:cs="Arial"/>
          <w:sz w:val="20"/>
          <w:szCs w:val="20"/>
        </w:rPr>
        <w:t>erhöhen</w:t>
      </w:r>
      <w:r w:rsidRPr="00D17EE7">
        <w:rPr>
          <w:rFonts w:ascii="Verdana" w:hAnsi="Verdana" w:cs="Arial"/>
          <w:sz w:val="20"/>
          <w:szCs w:val="20"/>
        </w:rPr>
        <w:t xml:space="preserve"> und die grenzüberschreitende Zusammenarbeit zu intensivieren, insbesondere für </w:t>
      </w:r>
      <w:r w:rsidR="00624C4A">
        <w:rPr>
          <w:rFonts w:ascii="Verdana" w:hAnsi="Verdana" w:cs="Arial"/>
          <w:sz w:val="20"/>
          <w:szCs w:val="20"/>
        </w:rPr>
        <w:t>den Fall, dass die Möglichkeiten</w:t>
      </w:r>
      <w:r w:rsidRPr="00D17EE7">
        <w:rPr>
          <w:rFonts w:ascii="Verdana" w:hAnsi="Verdana" w:cs="Arial"/>
          <w:sz w:val="20"/>
          <w:szCs w:val="20"/>
        </w:rPr>
        <w:t xml:space="preserve"> für persönliche Kontakte begrenzt bleiben;</w:t>
      </w:r>
    </w:p>
    <w:p w14:paraId="5AC2DB6A" w14:textId="77777777" w:rsidR="00D17EE7" w:rsidRPr="00D17EE7" w:rsidRDefault="00D17EE7" w:rsidP="00D17EE7">
      <w:pPr>
        <w:pStyle w:val="Listenabsatz"/>
        <w:rPr>
          <w:rFonts w:ascii="Verdana" w:hAnsi="Verdana" w:cs="Arial"/>
          <w:sz w:val="20"/>
          <w:szCs w:val="20"/>
        </w:rPr>
      </w:pPr>
    </w:p>
    <w:p w14:paraId="006868B9" w14:textId="77777777" w:rsidR="00D17EE7" w:rsidRDefault="00D17EE7" w:rsidP="00D17EE7">
      <w:pPr>
        <w:pStyle w:val="Listenabsatz"/>
        <w:numPr>
          <w:ilvl w:val="0"/>
          <w:numId w:val="3"/>
        </w:numPr>
        <w:spacing w:after="160" w:line="259" w:lineRule="auto"/>
        <w:rPr>
          <w:rFonts w:ascii="Verdana" w:hAnsi="Verdana" w:cs="Arial"/>
          <w:sz w:val="20"/>
          <w:szCs w:val="20"/>
        </w:rPr>
      </w:pPr>
      <w:r w:rsidRPr="00D17EE7">
        <w:rPr>
          <w:rFonts w:ascii="Verdana" w:hAnsi="Verdana" w:cs="Arial"/>
          <w:sz w:val="20"/>
          <w:szCs w:val="20"/>
        </w:rPr>
        <w:t xml:space="preserve">die Entwicklung und den Aufbau einer vertrauenswürdigen und sicheren digitalen Infrastruktur sowie die Stärkung der Digitalisierung in Wirtschaft, Bildung, Forschung und Verwaltung mit dem Ziel </w:t>
      </w:r>
      <w:r w:rsidR="00BE780E">
        <w:rPr>
          <w:rFonts w:ascii="Verdana" w:hAnsi="Verdana" w:cs="Arial"/>
          <w:sz w:val="20"/>
          <w:szCs w:val="20"/>
        </w:rPr>
        <w:t>durch</w:t>
      </w:r>
      <w:r>
        <w:rPr>
          <w:rFonts w:ascii="Verdana" w:hAnsi="Verdana" w:cs="Arial"/>
          <w:sz w:val="20"/>
          <w:szCs w:val="20"/>
        </w:rPr>
        <w:t>zusetzen</w:t>
      </w:r>
      <w:r w:rsidRPr="00D17EE7">
        <w:rPr>
          <w:rFonts w:ascii="Verdana" w:hAnsi="Verdana" w:cs="Arial"/>
          <w:sz w:val="20"/>
          <w:szCs w:val="20"/>
        </w:rPr>
        <w:t>, die grenzüberschreitende Zusammenarbeit sowie weitere grenzüberschreitende Kontakte zu verstärken.</w:t>
      </w:r>
    </w:p>
    <w:p w14:paraId="4086344F" w14:textId="77777777" w:rsidR="00D17EE7" w:rsidRPr="00D17EE7" w:rsidRDefault="00D17EE7" w:rsidP="00D17EE7">
      <w:pPr>
        <w:ind w:left="360"/>
        <w:rPr>
          <w:rFonts w:ascii="Verdana" w:hAnsi="Verdana" w:cs="Arial"/>
          <w:sz w:val="20"/>
          <w:szCs w:val="20"/>
        </w:rPr>
      </w:pPr>
    </w:p>
    <w:p w14:paraId="77918FE4" w14:textId="77777777" w:rsidR="00D17EE7" w:rsidRDefault="00D17EE7" w:rsidP="00D17EE7">
      <w:pPr>
        <w:spacing w:after="160" w:line="259" w:lineRule="auto"/>
        <w:rPr>
          <w:rFonts w:ascii="Verdana" w:hAnsi="Verdana" w:cs="Arial"/>
          <w:b/>
          <w:sz w:val="20"/>
          <w:szCs w:val="20"/>
        </w:rPr>
      </w:pPr>
      <w:r w:rsidRPr="00D17EE7">
        <w:rPr>
          <w:rFonts w:ascii="Verdana" w:hAnsi="Verdana" w:cs="Arial"/>
          <w:b/>
          <w:sz w:val="20"/>
          <w:szCs w:val="20"/>
        </w:rPr>
        <w:t>Im Hinblick auf Migration und Integration</w:t>
      </w:r>
    </w:p>
    <w:p w14:paraId="264A1A36" w14:textId="77777777" w:rsidR="00D17EE7" w:rsidRDefault="00D17EE7" w:rsidP="00D17EE7">
      <w:pPr>
        <w:spacing w:after="160" w:line="259" w:lineRule="auto"/>
        <w:rPr>
          <w:rFonts w:ascii="Verdana" w:hAnsi="Verdana" w:cs="Arial"/>
          <w:b/>
          <w:sz w:val="20"/>
          <w:szCs w:val="20"/>
        </w:rPr>
      </w:pPr>
    </w:p>
    <w:p w14:paraId="03DC512D" w14:textId="77777777" w:rsidR="00D17EE7" w:rsidRDefault="00D17EE7" w:rsidP="00D17EE7">
      <w:pPr>
        <w:pStyle w:val="Listenabsatz"/>
        <w:numPr>
          <w:ilvl w:val="0"/>
          <w:numId w:val="3"/>
        </w:numPr>
        <w:spacing w:after="160" w:line="259" w:lineRule="auto"/>
        <w:rPr>
          <w:rFonts w:ascii="Verdana" w:hAnsi="Verdana" w:cs="Arial"/>
          <w:sz w:val="20"/>
          <w:szCs w:val="20"/>
        </w:rPr>
      </w:pPr>
      <w:r w:rsidRPr="00D17EE7">
        <w:rPr>
          <w:rFonts w:ascii="Verdana" w:hAnsi="Verdana" w:cs="Arial"/>
          <w:sz w:val="20"/>
          <w:szCs w:val="20"/>
        </w:rPr>
        <w:t>eine Harmonisierung der Praktiken in Bezug auf (1) die Rückkehr, (2) die Bearbeitung von Asylanträgen und (3) die für minderjährige Asylbewerber vorgesehenen Aufnahmestandards anzustreben und dabei sowohl nationale als auch menschen- und grundrechtlich</w:t>
      </w:r>
      <w:r>
        <w:rPr>
          <w:rFonts w:ascii="Verdana" w:hAnsi="Verdana" w:cs="Arial"/>
          <w:sz w:val="20"/>
          <w:szCs w:val="20"/>
        </w:rPr>
        <w:t>e Erwägungen zu berücksichtigen;</w:t>
      </w:r>
    </w:p>
    <w:p w14:paraId="3622F0BB" w14:textId="77777777" w:rsidR="00D17EE7" w:rsidRDefault="00D17EE7" w:rsidP="00D17EE7">
      <w:pPr>
        <w:pStyle w:val="Listenabsatz"/>
        <w:spacing w:after="160" w:line="259" w:lineRule="auto"/>
        <w:rPr>
          <w:rFonts w:ascii="Verdana" w:hAnsi="Verdana" w:cs="Arial"/>
          <w:sz w:val="20"/>
          <w:szCs w:val="20"/>
        </w:rPr>
      </w:pPr>
    </w:p>
    <w:p w14:paraId="757A176A" w14:textId="77777777" w:rsidR="00D17EE7" w:rsidRDefault="00D17EE7" w:rsidP="00D17EE7">
      <w:pPr>
        <w:pStyle w:val="Listenabsatz"/>
        <w:numPr>
          <w:ilvl w:val="0"/>
          <w:numId w:val="3"/>
        </w:numPr>
        <w:spacing w:after="160" w:line="259" w:lineRule="auto"/>
        <w:rPr>
          <w:rFonts w:ascii="Verdana" w:hAnsi="Verdana" w:cs="Arial"/>
          <w:sz w:val="20"/>
          <w:szCs w:val="20"/>
        </w:rPr>
      </w:pPr>
      <w:r w:rsidRPr="00D17EE7">
        <w:rPr>
          <w:rFonts w:ascii="Verdana" w:hAnsi="Verdana" w:cs="Arial"/>
          <w:sz w:val="20"/>
          <w:szCs w:val="20"/>
        </w:rPr>
        <w:t xml:space="preserve">multinationale Zusammenarbeit und Koordination </w:t>
      </w:r>
      <w:r w:rsidR="008A687D">
        <w:rPr>
          <w:rFonts w:ascii="Verdana" w:hAnsi="Verdana" w:cs="Arial"/>
          <w:sz w:val="20"/>
          <w:szCs w:val="20"/>
        </w:rPr>
        <w:t>anzustreben</w:t>
      </w:r>
      <w:r w:rsidRPr="00D17EE7">
        <w:rPr>
          <w:rFonts w:ascii="Verdana" w:hAnsi="Verdana" w:cs="Arial"/>
          <w:sz w:val="20"/>
          <w:szCs w:val="20"/>
        </w:rPr>
        <w:t>, um unerwünschte Entwicklungen wie Arbeitskräftemangel und Arbeitskräfteüberschüsse auszugleichen;</w:t>
      </w:r>
    </w:p>
    <w:p w14:paraId="67E12368" w14:textId="77777777" w:rsidR="00D17EE7" w:rsidRPr="00D17EE7" w:rsidRDefault="00D17EE7" w:rsidP="00D17EE7">
      <w:pPr>
        <w:pStyle w:val="Listenabsatz"/>
        <w:rPr>
          <w:rFonts w:ascii="Verdana" w:hAnsi="Verdana" w:cs="Arial"/>
          <w:sz w:val="20"/>
          <w:szCs w:val="20"/>
        </w:rPr>
      </w:pPr>
    </w:p>
    <w:p w14:paraId="43184E2F" w14:textId="77777777" w:rsidR="00D17EE7" w:rsidRDefault="00D17EE7" w:rsidP="00D17EE7">
      <w:pPr>
        <w:pStyle w:val="Listenabsatz"/>
        <w:numPr>
          <w:ilvl w:val="0"/>
          <w:numId w:val="3"/>
        </w:numPr>
        <w:spacing w:after="160" w:line="259" w:lineRule="auto"/>
        <w:rPr>
          <w:rFonts w:ascii="Verdana" w:hAnsi="Verdana" w:cs="Arial"/>
          <w:sz w:val="20"/>
          <w:szCs w:val="20"/>
        </w:rPr>
      </w:pPr>
      <w:r w:rsidRPr="00D17EE7">
        <w:rPr>
          <w:rFonts w:ascii="Verdana" w:hAnsi="Verdana" w:cs="Arial"/>
          <w:sz w:val="20"/>
          <w:szCs w:val="20"/>
        </w:rPr>
        <w:t xml:space="preserve">die Verbreitung und </w:t>
      </w:r>
      <w:r w:rsidR="00A9038D">
        <w:rPr>
          <w:rFonts w:ascii="Verdana" w:hAnsi="Verdana" w:cs="Arial"/>
          <w:sz w:val="20"/>
          <w:szCs w:val="20"/>
        </w:rPr>
        <w:t>Übernahme</w:t>
      </w:r>
      <w:r w:rsidRPr="00D17EE7">
        <w:rPr>
          <w:rFonts w:ascii="Verdana" w:hAnsi="Verdana" w:cs="Arial"/>
          <w:sz w:val="20"/>
          <w:szCs w:val="20"/>
        </w:rPr>
        <w:t xml:space="preserve"> bewäh</w:t>
      </w:r>
      <w:r w:rsidR="00A9038D">
        <w:rPr>
          <w:rFonts w:ascii="Verdana" w:hAnsi="Verdana" w:cs="Arial"/>
          <w:sz w:val="20"/>
          <w:szCs w:val="20"/>
        </w:rPr>
        <w:t>rter</w:t>
      </w:r>
      <w:r w:rsidRPr="00D17EE7">
        <w:rPr>
          <w:rFonts w:ascii="Verdana" w:hAnsi="Verdana" w:cs="Arial"/>
          <w:sz w:val="20"/>
          <w:szCs w:val="20"/>
        </w:rPr>
        <w:t xml:space="preserve"> </w:t>
      </w:r>
      <w:r w:rsidR="007A1996">
        <w:rPr>
          <w:rFonts w:ascii="Verdana" w:hAnsi="Verdana" w:cs="Arial"/>
          <w:sz w:val="20"/>
          <w:szCs w:val="20"/>
        </w:rPr>
        <w:t>Praktiken</w:t>
      </w:r>
      <w:r w:rsidRPr="00D17EE7">
        <w:rPr>
          <w:rFonts w:ascii="Verdana" w:hAnsi="Verdana" w:cs="Arial"/>
          <w:sz w:val="20"/>
          <w:szCs w:val="20"/>
        </w:rPr>
        <w:t xml:space="preserve"> zur Unterstützung der Beschäftigung und Integration </w:t>
      </w:r>
      <w:r w:rsidR="00A9038D">
        <w:rPr>
          <w:rFonts w:ascii="Verdana" w:hAnsi="Verdana" w:cs="Arial"/>
          <w:sz w:val="20"/>
          <w:szCs w:val="20"/>
        </w:rPr>
        <w:t>besonderer</w:t>
      </w:r>
      <w:r w:rsidRPr="00D17EE7">
        <w:rPr>
          <w:rFonts w:ascii="Verdana" w:hAnsi="Verdana" w:cs="Arial"/>
          <w:sz w:val="20"/>
          <w:szCs w:val="20"/>
        </w:rPr>
        <w:t xml:space="preserve"> Gruppen von Einwanderern, die </w:t>
      </w:r>
      <w:r w:rsidR="00A9038D">
        <w:rPr>
          <w:rFonts w:ascii="Verdana" w:hAnsi="Verdana" w:cs="Arial"/>
          <w:sz w:val="20"/>
          <w:szCs w:val="20"/>
        </w:rPr>
        <w:t>speziellen</w:t>
      </w:r>
      <w:r w:rsidRPr="00D17EE7">
        <w:rPr>
          <w:rFonts w:ascii="Verdana" w:hAnsi="Verdana" w:cs="Arial"/>
          <w:sz w:val="20"/>
          <w:szCs w:val="20"/>
        </w:rPr>
        <w:t xml:space="preserve"> Schutz </w:t>
      </w:r>
      <w:r w:rsidR="00A9038D">
        <w:rPr>
          <w:rFonts w:ascii="Verdana" w:hAnsi="Verdana" w:cs="Arial"/>
          <w:sz w:val="20"/>
          <w:szCs w:val="20"/>
        </w:rPr>
        <w:t>verdienen</w:t>
      </w:r>
      <w:r w:rsidRPr="00D17EE7">
        <w:rPr>
          <w:rFonts w:ascii="Verdana" w:hAnsi="Verdana" w:cs="Arial"/>
          <w:sz w:val="20"/>
          <w:szCs w:val="20"/>
        </w:rPr>
        <w:t>, zu fördern;</w:t>
      </w:r>
    </w:p>
    <w:p w14:paraId="167C2F27" w14:textId="77777777" w:rsidR="00D17EE7" w:rsidRPr="00D17EE7" w:rsidRDefault="00D17EE7" w:rsidP="00D17EE7">
      <w:pPr>
        <w:pStyle w:val="Listenabsatz"/>
        <w:rPr>
          <w:rFonts w:ascii="Verdana" w:hAnsi="Verdana" w:cs="Arial"/>
          <w:sz w:val="20"/>
          <w:szCs w:val="20"/>
        </w:rPr>
      </w:pPr>
    </w:p>
    <w:p w14:paraId="3529A8FC" w14:textId="647534B6" w:rsidR="00D17EE7" w:rsidRDefault="00D17EE7" w:rsidP="00D17EE7">
      <w:pPr>
        <w:pStyle w:val="Listenabsatz"/>
        <w:numPr>
          <w:ilvl w:val="0"/>
          <w:numId w:val="3"/>
        </w:numPr>
        <w:spacing w:after="160" w:line="259" w:lineRule="auto"/>
        <w:rPr>
          <w:rFonts w:ascii="Verdana" w:hAnsi="Verdana" w:cs="Arial"/>
          <w:sz w:val="20"/>
          <w:szCs w:val="20"/>
        </w:rPr>
      </w:pPr>
      <w:r w:rsidRPr="00D17EE7">
        <w:rPr>
          <w:rFonts w:ascii="Verdana" w:hAnsi="Verdana" w:cs="Arial"/>
          <w:sz w:val="20"/>
          <w:szCs w:val="20"/>
        </w:rPr>
        <w:lastRenderedPageBreak/>
        <w:t>den vielschichtigen Charakter der Integration (d.</w:t>
      </w:r>
      <w:r w:rsidR="00A9038D">
        <w:rPr>
          <w:rFonts w:ascii="Verdana" w:hAnsi="Verdana" w:cs="Arial"/>
          <w:sz w:val="20"/>
          <w:szCs w:val="20"/>
        </w:rPr>
        <w:t xml:space="preserve"> </w:t>
      </w:r>
      <w:r w:rsidRPr="00D17EE7">
        <w:rPr>
          <w:rFonts w:ascii="Verdana" w:hAnsi="Verdana" w:cs="Arial"/>
          <w:sz w:val="20"/>
          <w:szCs w:val="20"/>
        </w:rPr>
        <w:t xml:space="preserve">h. Arbeitsmarkt, Sprache, soziale Beziehungen, </w:t>
      </w:r>
      <w:r w:rsidRPr="00C053E2">
        <w:rPr>
          <w:rFonts w:ascii="Verdana" w:hAnsi="Verdana" w:cs="Arial"/>
          <w:sz w:val="20"/>
          <w:szCs w:val="20"/>
        </w:rPr>
        <w:t>kulturelle</w:t>
      </w:r>
      <w:r w:rsidR="00293A9F" w:rsidRPr="00C053E2">
        <w:rPr>
          <w:rFonts w:ascii="Verdana" w:hAnsi="Verdana" w:cs="Arial"/>
          <w:sz w:val="20"/>
          <w:szCs w:val="20"/>
        </w:rPr>
        <w:t xml:space="preserve"> Eingewöhnung</w:t>
      </w:r>
      <w:r w:rsidRPr="00C053E2">
        <w:rPr>
          <w:rFonts w:ascii="Verdana" w:hAnsi="Verdana" w:cs="Arial"/>
          <w:sz w:val="20"/>
          <w:szCs w:val="20"/>
        </w:rPr>
        <w:t xml:space="preserve"> </w:t>
      </w:r>
      <w:r w:rsidRPr="00D17EE7">
        <w:rPr>
          <w:rFonts w:ascii="Verdana" w:hAnsi="Verdana" w:cs="Arial"/>
          <w:sz w:val="20"/>
          <w:szCs w:val="20"/>
        </w:rPr>
        <w:t xml:space="preserve">usw.) anzuerkennen. Dieses Verständnis sollte auch auf der </w:t>
      </w:r>
      <w:r w:rsidR="00A9038D">
        <w:rPr>
          <w:rFonts w:ascii="Verdana" w:hAnsi="Verdana" w:cs="Arial"/>
          <w:sz w:val="20"/>
          <w:szCs w:val="20"/>
        </w:rPr>
        <w:t>legislativen</w:t>
      </w:r>
      <w:r w:rsidRPr="00D17EE7">
        <w:rPr>
          <w:rFonts w:ascii="Verdana" w:hAnsi="Verdana" w:cs="Arial"/>
          <w:sz w:val="20"/>
          <w:szCs w:val="20"/>
        </w:rPr>
        <w:t xml:space="preserve"> und politischen Ebene in die Praxis umgesetzt werden;</w:t>
      </w:r>
    </w:p>
    <w:p w14:paraId="1A449FC5" w14:textId="77777777" w:rsidR="00D17EE7" w:rsidRPr="00D17EE7" w:rsidRDefault="00D17EE7" w:rsidP="00D17EE7">
      <w:pPr>
        <w:pStyle w:val="Listenabsatz"/>
        <w:rPr>
          <w:rFonts w:ascii="Verdana" w:hAnsi="Verdana" w:cs="Arial"/>
          <w:sz w:val="20"/>
          <w:szCs w:val="20"/>
        </w:rPr>
      </w:pPr>
    </w:p>
    <w:p w14:paraId="55B20256" w14:textId="77777777" w:rsidR="00D17EE7" w:rsidRDefault="00D17EE7" w:rsidP="00D17EE7">
      <w:pPr>
        <w:pStyle w:val="Listenabsatz"/>
        <w:numPr>
          <w:ilvl w:val="0"/>
          <w:numId w:val="3"/>
        </w:numPr>
        <w:spacing w:after="160" w:line="259" w:lineRule="auto"/>
        <w:rPr>
          <w:rFonts w:ascii="Verdana" w:hAnsi="Verdana" w:cs="Arial"/>
          <w:sz w:val="20"/>
          <w:szCs w:val="20"/>
        </w:rPr>
      </w:pPr>
      <w:r>
        <w:rPr>
          <w:rFonts w:ascii="Verdana" w:hAnsi="Verdana" w:cs="Arial"/>
          <w:sz w:val="20"/>
          <w:szCs w:val="20"/>
        </w:rPr>
        <w:t xml:space="preserve">die </w:t>
      </w:r>
      <w:r w:rsidR="00A9038D">
        <w:rPr>
          <w:rFonts w:ascii="Verdana" w:hAnsi="Verdana" w:cs="Arial"/>
          <w:sz w:val="20"/>
          <w:szCs w:val="20"/>
        </w:rPr>
        <w:t>öffentliche Politik zu fokussieren</w:t>
      </w:r>
      <w:r w:rsidRPr="00D17EE7">
        <w:rPr>
          <w:rFonts w:ascii="Verdana" w:hAnsi="Verdana" w:cs="Arial"/>
          <w:sz w:val="20"/>
          <w:szCs w:val="20"/>
        </w:rPr>
        <w:t xml:space="preserve"> und Ressourcen</w:t>
      </w:r>
      <w:r>
        <w:rPr>
          <w:rFonts w:ascii="Verdana" w:hAnsi="Verdana" w:cs="Arial"/>
          <w:sz w:val="20"/>
          <w:szCs w:val="20"/>
        </w:rPr>
        <w:t xml:space="preserve"> </w:t>
      </w:r>
      <w:r w:rsidR="00A9038D">
        <w:rPr>
          <w:rFonts w:ascii="Verdana" w:hAnsi="Verdana" w:cs="Arial"/>
          <w:sz w:val="20"/>
          <w:szCs w:val="20"/>
        </w:rPr>
        <w:t>zuzuweisen</w:t>
      </w:r>
      <w:r w:rsidRPr="00D17EE7">
        <w:rPr>
          <w:rFonts w:ascii="Verdana" w:hAnsi="Verdana" w:cs="Arial"/>
          <w:sz w:val="20"/>
          <w:szCs w:val="20"/>
        </w:rPr>
        <w:t xml:space="preserve">, um NGOs und informellen Netzwerken, die die soziale und Arbeitsmarktintegration von Migranten unterstützen, wünschenswerte Arbeitsbedingungen zu </w:t>
      </w:r>
      <w:r w:rsidR="00652E49">
        <w:rPr>
          <w:rFonts w:ascii="Verdana" w:hAnsi="Verdana" w:cs="Arial"/>
          <w:sz w:val="20"/>
          <w:szCs w:val="20"/>
        </w:rPr>
        <w:t>ermöglichen</w:t>
      </w:r>
      <w:r w:rsidRPr="00D17EE7">
        <w:rPr>
          <w:rFonts w:ascii="Verdana" w:hAnsi="Verdana" w:cs="Arial"/>
          <w:sz w:val="20"/>
          <w:szCs w:val="20"/>
        </w:rPr>
        <w:t>;</w:t>
      </w:r>
    </w:p>
    <w:p w14:paraId="291078CE" w14:textId="77777777" w:rsidR="00D17EE7" w:rsidRPr="00D17EE7" w:rsidRDefault="00D17EE7" w:rsidP="00D17EE7">
      <w:pPr>
        <w:pStyle w:val="Listenabsatz"/>
        <w:rPr>
          <w:rFonts w:ascii="Verdana" w:hAnsi="Verdana" w:cs="Arial"/>
          <w:sz w:val="20"/>
          <w:szCs w:val="20"/>
        </w:rPr>
      </w:pPr>
    </w:p>
    <w:p w14:paraId="77F74F53" w14:textId="77777777" w:rsidR="00D17EE7" w:rsidRDefault="00D17EE7" w:rsidP="00D17EE7">
      <w:pPr>
        <w:pStyle w:val="Listenabsatz"/>
        <w:numPr>
          <w:ilvl w:val="0"/>
          <w:numId w:val="3"/>
        </w:numPr>
        <w:spacing w:after="160" w:line="259" w:lineRule="auto"/>
        <w:rPr>
          <w:rFonts w:ascii="Verdana" w:hAnsi="Verdana" w:cs="Arial"/>
          <w:sz w:val="20"/>
          <w:szCs w:val="20"/>
        </w:rPr>
      </w:pPr>
      <w:r w:rsidRPr="00D17EE7">
        <w:rPr>
          <w:rFonts w:ascii="Verdana" w:hAnsi="Verdana" w:cs="Arial"/>
          <w:sz w:val="20"/>
          <w:szCs w:val="20"/>
        </w:rPr>
        <w:t xml:space="preserve">die Bedeutung der Zivilgesellschaft und </w:t>
      </w:r>
      <w:r w:rsidR="00652E49">
        <w:rPr>
          <w:rFonts w:ascii="Verdana" w:hAnsi="Verdana" w:cs="Arial"/>
          <w:sz w:val="20"/>
          <w:szCs w:val="20"/>
        </w:rPr>
        <w:t>N</w:t>
      </w:r>
      <w:r w:rsidRPr="00D17EE7">
        <w:rPr>
          <w:rFonts w:ascii="Verdana" w:hAnsi="Verdana" w:cs="Arial"/>
          <w:sz w:val="20"/>
          <w:szCs w:val="20"/>
        </w:rPr>
        <w:t>GOs bei der Erleichterung der Integration anzuerkennen, wobei die Sportverbände ein Beispiel für Organisationen sind, die eine wichtige, verbindende Rolle bei der Integration spielen, indem sie den Menschen helfen, sich in d</w:t>
      </w:r>
      <w:r w:rsidR="00652E49">
        <w:rPr>
          <w:rFonts w:ascii="Verdana" w:hAnsi="Verdana" w:cs="Arial"/>
          <w:sz w:val="20"/>
          <w:szCs w:val="20"/>
        </w:rPr>
        <w:t>ie Gesellschaft einzuführen, sich</w:t>
      </w:r>
      <w:r w:rsidRPr="00D17EE7">
        <w:rPr>
          <w:rFonts w:ascii="Verdana" w:hAnsi="Verdana" w:cs="Arial"/>
          <w:sz w:val="20"/>
          <w:szCs w:val="20"/>
        </w:rPr>
        <w:t xml:space="preserve"> zu </w:t>
      </w:r>
      <w:r w:rsidR="00652E49">
        <w:rPr>
          <w:rFonts w:ascii="Verdana" w:hAnsi="Verdana" w:cs="Arial"/>
          <w:sz w:val="20"/>
          <w:szCs w:val="20"/>
        </w:rPr>
        <w:t>engagieren,</w:t>
      </w:r>
      <w:r w:rsidRPr="00D17EE7">
        <w:rPr>
          <w:rFonts w:ascii="Verdana" w:hAnsi="Verdana" w:cs="Arial"/>
          <w:sz w:val="20"/>
          <w:szCs w:val="20"/>
        </w:rPr>
        <w:t xml:space="preserve"> und neue Personengruppen zusammenbringen;</w:t>
      </w:r>
    </w:p>
    <w:p w14:paraId="65AB10D8" w14:textId="77777777" w:rsidR="00D17EE7" w:rsidRPr="00D17EE7" w:rsidRDefault="00D17EE7" w:rsidP="00D17EE7">
      <w:pPr>
        <w:pStyle w:val="Listenabsatz"/>
        <w:rPr>
          <w:rFonts w:ascii="Verdana" w:hAnsi="Verdana" w:cs="Arial"/>
          <w:sz w:val="20"/>
          <w:szCs w:val="20"/>
        </w:rPr>
      </w:pPr>
    </w:p>
    <w:p w14:paraId="6EB22BAC" w14:textId="77777777" w:rsidR="00D17EE7" w:rsidRDefault="00D17EE7" w:rsidP="00D17EE7">
      <w:pPr>
        <w:pStyle w:val="Listenabsatz"/>
        <w:numPr>
          <w:ilvl w:val="0"/>
          <w:numId w:val="3"/>
        </w:numPr>
        <w:spacing w:after="160" w:line="259" w:lineRule="auto"/>
        <w:rPr>
          <w:rFonts w:ascii="Verdana" w:hAnsi="Verdana" w:cs="Arial"/>
          <w:sz w:val="20"/>
          <w:szCs w:val="20"/>
        </w:rPr>
      </w:pPr>
      <w:r>
        <w:rPr>
          <w:rFonts w:ascii="Verdana" w:hAnsi="Verdana" w:cs="Arial"/>
          <w:sz w:val="20"/>
          <w:szCs w:val="20"/>
        </w:rPr>
        <w:t>gute</w:t>
      </w:r>
      <w:r w:rsidRPr="00D17EE7">
        <w:rPr>
          <w:rFonts w:ascii="Verdana" w:hAnsi="Verdana" w:cs="Arial"/>
          <w:sz w:val="20"/>
          <w:szCs w:val="20"/>
        </w:rPr>
        <w:t xml:space="preserve"> Beziehungen </w:t>
      </w:r>
      <w:r>
        <w:rPr>
          <w:rFonts w:ascii="Verdana" w:hAnsi="Verdana" w:cs="Arial"/>
          <w:sz w:val="20"/>
          <w:szCs w:val="20"/>
        </w:rPr>
        <w:t xml:space="preserve">und Vielfalt </w:t>
      </w:r>
      <w:r w:rsidRPr="00D17EE7">
        <w:rPr>
          <w:rFonts w:ascii="Verdana" w:hAnsi="Verdana" w:cs="Arial"/>
          <w:sz w:val="20"/>
          <w:szCs w:val="20"/>
        </w:rPr>
        <w:t>innerhalb der</w:t>
      </w:r>
      <w:r w:rsidR="00652E49">
        <w:rPr>
          <w:rFonts w:ascii="Verdana" w:hAnsi="Verdana" w:cs="Arial"/>
          <w:sz w:val="20"/>
          <w:szCs w:val="20"/>
        </w:rPr>
        <w:t xml:space="preserve"> Gesellschaft</w:t>
      </w:r>
      <w:r w:rsidRPr="00D17EE7">
        <w:rPr>
          <w:rFonts w:ascii="Verdana" w:hAnsi="Verdana" w:cs="Arial"/>
          <w:sz w:val="20"/>
          <w:szCs w:val="20"/>
        </w:rPr>
        <w:t xml:space="preserve"> </w:t>
      </w:r>
      <w:r>
        <w:rPr>
          <w:rFonts w:ascii="Verdana" w:hAnsi="Verdana" w:cs="Arial"/>
          <w:sz w:val="20"/>
          <w:szCs w:val="20"/>
        </w:rPr>
        <w:t>zu fördern</w:t>
      </w:r>
      <w:r w:rsidRPr="00D17EE7">
        <w:rPr>
          <w:rFonts w:ascii="Verdana" w:hAnsi="Verdana" w:cs="Arial"/>
          <w:sz w:val="20"/>
          <w:szCs w:val="20"/>
        </w:rPr>
        <w:t>. Solche Maßnahmen könn</w:t>
      </w:r>
      <w:r w:rsidR="00652E49">
        <w:rPr>
          <w:rFonts w:ascii="Verdana" w:hAnsi="Verdana" w:cs="Arial"/>
          <w:sz w:val="20"/>
          <w:szCs w:val="20"/>
        </w:rPr>
        <w:t>t</w:t>
      </w:r>
      <w:r w:rsidRPr="00D17EE7">
        <w:rPr>
          <w:rFonts w:ascii="Verdana" w:hAnsi="Verdana" w:cs="Arial"/>
          <w:sz w:val="20"/>
          <w:szCs w:val="20"/>
        </w:rPr>
        <w:t xml:space="preserve">en Informationskampagnen, die Organisation von Veranstaltungen und eine </w:t>
      </w:r>
      <w:r>
        <w:rPr>
          <w:rFonts w:ascii="Verdana" w:hAnsi="Verdana" w:cs="Arial"/>
          <w:sz w:val="20"/>
          <w:szCs w:val="20"/>
        </w:rPr>
        <w:t>Wohnraumpolitik</w:t>
      </w:r>
      <w:r w:rsidRPr="00D17EE7">
        <w:rPr>
          <w:rFonts w:ascii="Verdana" w:hAnsi="Verdana" w:cs="Arial"/>
          <w:sz w:val="20"/>
          <w:szCs w:val="20"/>
        </w:rPr>
        <w:t xml:space="preserve"> umfassen, die </w:t>
      </w:r>
      <w:r w:rsidR="00652E49">
        <w:rPr>
          <w:rFonts w:ascii="Verdana" w:hAnsi="Verdana" w:cs="Arial"/>
          <w:sz w:val="20"/>
          <w:szCs w:val="20"/>
        </w:rPr>
        <w:t xml:space="preserve">Diversität in </w:t>
      </w:r>
      <w:r w:rsidRPr="00D17EE7">
        <w:rPr>
          <w:rFonts w:ascii="Verdana" w:hAnsi="Verdana" w:cs="Arial"/>
          <w:sz w:val="20"/>
          <w:szCs w:val="20"/>
        </w:rPr>
        <w:t>Wohngebiete</w:t>
      </w:r>
      <w:r w:rsidR="00652E49">
        <w:rPr>
          <w:rFonts w:ascii="Verdana" w:hAnsi="Verdana" w:cs="Arial"/>
          <w:sz w:val="20"/>
          <w:szCs w:val="20"/>
        </w:rPr>
        <w:t>n fördern</w:t>
      </w:r>
      <w:r w:rsidRPr="00D17EE7">
        <w:rPr>
          <w:rFonts w:ascii="Verdana" w:hAnsi="Verdana" w:cs="Arial"/>
          <w:sz w:val="20"/>
          <w:szCs w:val="20"/>
        </w:rPr>
        <w:t>;</w:t>
      </w:r>
    </w:p>
    <w:p w14:paraId="44425354" w14:textId="77777777" w:rsidR="00D17EE7" w:rsidRPr="00D17EE7" w:rsidRDefault="00D17EE7" w:rsidP="00D17EE7">
      <w:pPr>
        <w:pStyle w:val="Listenabsatz"/>
        <w:rPr>
          <w:rFonts w:ascii="Verdana" w:hAnsi="Verdana" w:cs="Arial"/>
          <w:sz w:val="20"/>
          <w:szCs w:val="20"/>
        </w:rPr>
      </w:pPr>
    </w:p>
    <w:p w14:paraId="3F83A272" w14:textId="77777777" w:rsidR="00D17EE7" w:rsidRDefault="00D17EE7" w:rsidP="00D17EE7">
      <w:pPr>
        <w:pStyle w:val="Listenabsatz"/>
        <w:numPr>
          <w:ilvl w:val="0"/>
          <w:numId w:val="3"/>
        </w:numPr>
        <w:spacing w:after="160" w:line="259" w:lineRule="auto"/>
        <w:rPr>
          <w:rFonts w:ascii="Verdana" w:hAnsi="Verdana" w:cs="Arial"/>
          <w:sz w:val="20"/>
          <w:szCs w:val="20"/>
        </w:rPr>
      </w:pPr>
      <w:r w:rsidRPr="00D17EE7">
        <w:rPr>
          <w:rFonts w:ascii="Verdana" w:hAnsi="Verdana" w:cs="Arial"/>
          <w:sz w:val="20"/>
          <w:szCs w:val="20"/>
        </w:rPr>
        <w:t xml:space="preserve">das Konzept der </w:t>
      </w:r>
      <w:r w:rsidR="00842310">
        <w:rPr>
          <w:rFonts w:ascii="Verdana" w:hAnsi="Verdana" w:cs="Arial"/>
          <w:sz w:val="20"/>
          <w:szCs w:val="20"/>
        </w:rPr>
        <w:t>Drei-Wege-</w:t>
      </w:r>
      <w:r w:rsidRPr="00D17EE7">
        <w:rPr>
          <w:rFonts w:ascii="Verdana" w:hAnsi="Verdana" w:cs="Arial"/>
          <w:sz w:val="20"/>
          <w:szCs w:val="20"/>
        </w:rPr>
        <w:t xml:space="preserve">Integration in </w:t>
      </w:r>
      <w:r w:rsidR="00842310">
        <w:rPr>
          <w:rFonts w:ascii="Verdana" w:hAnsi="Verdana" w:cs="Arial"/>
          <w:sz w:val="20"/>
          <w:szCs w:val="20"/>
        </w:rPr>
        <w:t xml:space="preserve">der </w:t>
      </w:r>
      <w:r w:rsidRPr="00D17EE7">
        <w:rPr>
          <w:rFonts w:ascii="Verdana" w:hAnsi="Verdana" w:cs="Arial"/>
          <w:sz w:val="20"/>
          <w:szCs w:val="20"/>
        </w:rPr>
        <w:t xml:space="preserve">Gesetzgebung und </w:t>
      </w:r>
      <w:r w:rsidR="00842310">
        <w:rPr>
          <w:rFonts w:ascii="Verdana" w:hAnsi="Verdana" w:cs="Arial"/>
          <w:sz w:val="20"/>
          <w:szCs w:val="20"/>
        </w:rPr>
        <w:t xml:space="preserve">in der </w:t>
      </w:r>
      <w:r w:rsidRPr="00D17EE7">
        <w:rPr>
          <w:rFonts w:ascii="Verdana" w:hAnsi="Verdana" w:cs="Arial"/>
          <w:sz w:val="20"/>
          <w:szCs w:val="20"/>
        </w:rPr>
        <w:t xml:space="preserve">Politik anzuerkennen. </w:t>
      </w:r>
      <w:r>
        <w:rPr>
          <w:rFonts w:ascii="Verdana" w:hAnsi="Verdana" w:cs="Arial"/>
          <w:sz w:val="20"/>
          <w:szCs w:val="20"/>
        </w:rPr>
        <w:t>Politische Ziele</w:t>
      </w:r>
      <w:r w:rsidRPr="00D17EE7">
        <w:rPr>
          <w:rFonts w:ascii="Verdana" w:hAnsi="Verdana" w:cs="Arial"/>
          <w:sz w:val="20"/>
          <w:szCs w:val="20"/>
        </w:rPr>
        <w:t xml:space="preserve"> zu formulieren, die jeden Aspekt der Funktionsfähigkeit des Drei-Wege-Integrationsmodells verbessern;</w:t>
      </w:r>
    </w:p>
    <w:p w14:paraId="37FBBC97" w14:textId="77777777" w:rsidR="00D17EE7" w:rsidRPr="00D17EE7" w:rsidRDefault="00D17EE7" w:rsidP="00D17EE7">
      <w:pPr>
        <w:pStyle w:val="Listenabsatz"/>
        <w:rPr>
          <w:rFonts w:ascii="Verdana" w:hAnsi="Verdana" w:cs="Arial"/>
          <w:sz w:val="20"/>
          <w:szCs w:val="20"/>
        </w:rPr>
      </w:pPr>
    </w:p>
    <w:p w14:paraId="4F7ECA24" w14:textId="77777777" w:rsidR="00D17EE7" w:rsidRDefault="00842310" w:rsidP="00D17EE7">
      <w:pPr>
        <w:pStyle w:val="Listenabsatz"/>
        <w:numPr>
          <w:ilvl w:val="0"/>
          <w:numId w:val="3"/>
        </w:numPr>
        <w:spacing w:after="160" w:line="259" w:lineRule="auto"/>
        <w:rPr>
          <w:rFonts w:ascii="Verdana" w:hAnsi="Verdana" w:cs="Arial"/>
          <w:sz w:val="20"/>
          <w:szCs w:val="20"/>
        </w:rPr>
      </w:pPr>
      <w:r w:rsidRPr="00D17EE7">
        <w:rPr>
          <w:rFonts w:ascii="Verdana" w:hAnsi="Verdana" w:cs="Arial"/>
          <w:sz w:val="20"/>
          <w:szCs w:val="20"/>
        </w:rPr>
        <w:t xml:space="preserve">auf lokaler Ebene </w:t>
      </w:r>
      <w:r w:rsidR="00D17EE7" w:rsidRPr="00D17EE7">
        <w:rPr>
          <w:rFonts w:ascii="Verdana" w:hAnsi="Verdana" w:cs="Arial"/>
          <w:sz w:val="20"/>
          <w:szCs w:val="20"/>
        </w:rPr>
        <w:t>umfassendere Daten über soziale, wirtschaftliche, Beschäftigungs- und Bevölkerungstrends in der BSPC-Region zusammenzustellen, die bei der Gestaltung de</w:t>
      </w:r>
      <w:r>
        <w:rPr>
          <w:rFonts w:ascii="Verdana" w:hAnsi="Verdana" w:cs="Arial"/>
          <w:sz w:val="20"/>
          <w:szCs w:val="20"/>
        </w:rPr>
        <w:t>r Einwanderungs- und Einwanderer</w:t>
      </w:r>
      <w:r w:rsidR="00D17EE7" w:rsidRPr="00D17EE7">
        <w:rPr>
          <w:rFonts w:ascii="Verdana" w:hAnsi="Verdana" w:cs="Arial"/>
          <w:sz w:val="20"/>
          <w:szCs w:val="20"/>
        </w:rPr>
        <w:t xml:space="preserve">politik </w:t>
      </w:r>
      <w:r>
        <w:rPr>
          <w:rFonts w:ascii="Verdana" w:hAnsi="Verdana" w:cs="Arial"/>
          <w:sz w:val="20"/>
          <w:szCs w:val="20"/>
        </w:rPr>
        <w:t>unterstützen</w:t>
      </w:r>
      <w:r w:rsidR="00D17EE7" w:rsidRPr="00D17EE7">
        <w:rPr>
          <w:rFonts w:ascii="Verdana" w:hAnsi="Verdana" w:cs="Arial"/>
          <w:sz w:val="20"/>
          <w:szCs w:val="20"/>
        </w:rPr>
        <w:t xml:space="preserve"> werden;</w:t>
      </w:r>
    </w:p>
    <w:p w14:paraId="4E1DA663" w14:textId="77777777" w:rsidR="00D17EE7" w:rsidRPr="00D17EE7" w:rsidRDefault="00D17EE7" w:rsidP="00D17EE7">
      <w:pPr>
        <w:pStyle w:val="Listenabsatz"/>
        <w:rPr>
          <w:rFonts w:ascii="Verdana" w:hAnsi="Verdana" w:cs="Arial"/>
          <w:sz w:val="20"/>
          <w:szCs w:val="20"/>
        </w:rPr>
      </w:pPr>
    </w:p>
    <w:p w14:paraId="6284FF9A" w14:textId="77777777" w:rsidR="00D17EE7" w:rsidRDefault="00D17EE7" w:rsidP="00D17EE7">
      <w:pPr>
        <w:pStyle w:val="Listenabsatz"/>
        <w:numPr>
          <w:ilvl w:val="0"/>
          <w:numId w:val="3"/>
        </w:numPr>
        <w:spacing w:after="160" w:line="259" w:lineRule="auto"/>
        <w:rPr>
          <w:rFonts w:ascii="Verdana" w:hAnsi="Verdana" w:cs="Arial"/>
          <w:sz w:val="20"/>
          <w:szCs w:val="20"/>
        </w:rPr>
      </w:pPr>
      <w:r w:rsidRPr="00D17EE7">
        <w:rPr>
          <w:rFonts w:ascii="Verdana" w:hAnsi="Verdana" w:cs="Arial"/>
          <w:sz w:val="20"/>
          <w:szCs w:val="20"/>
        </w:rPr>
        <w:t xml:space="preserve">relevante Projekte zu Migration und Integration, einschließlich des geplanten </w:t>
      </w:r>
      <w:r w:rsidR="00842310">
        <w:rPr>
          <w:rFonts w:ascii="Verdana" w:hAnsi="Verdana" w:cs="Arial"/>
          <w:sz w:val="20"/>
          <w:szCs w:val="20"/>
        </w:rPr>
        <w:t>Flaggschiff</w:t>
      </w:r>
      <w:r w:rsidRPr="00D17EE7">
        <w:rPr>
          <w:rFonts w:ascii="Verdana" w:hAnsi="Verdana" w:cs="Arial"/>
          <w:sz w:val="20"/>
          <w:szCs w:val="20"/>
        </w:rPr>
        <w:t xml:space="preserve">projekts </w:t>
      </w:r>
      <w:r w:rsidR="00842310">
        <w:rPr>
          <w:rFonts w:ascii="Verdana" w:hAnsi="Verdana" w:cs="Arial"/>
          <w:sz w:val="20"/>
          <w:szCs w:val="20"/>
        </w:rPr>
        <w:t>zum Thema "Potenziale erkennen –</w:t>
      </w:r>
      <w:r w:rsidRPr="00D17EE7">
        <w:rPr>
          <w:rFonts w:ascii="Verdana" w:hAnsi="Verdana" w:cs="Arial"/>
          <w:sz w:val="20"/>
          <w:szCs w:val="20"/>
        </w:rPr>
        <w:t xml:space="preserve"> die Integration von Migranten ermöglichen", im kommenden EUSBSR-Aktionsplan ab 2021 rechtzeitig politisch zu unterstützen;</w:t>
      </w:r>
    </w:p>
    <w:p w14:paraId="234E9668" w14:textId="77777777" w:rsidR="00D17EE7" w:rsidRPr="00D17EE7" w:rsidRDefault="00D17EE7" w:rsidP="00D17EE7">
      <w:pPr>
        <w:pStyle w:val="Listenabsatz"/>
        <w:rPr>
          <w:rFonts w:ascii="Verdana" w:hAnsi="Verdana" w:cs="Arial"/>
          <w:sz w:val="20"/>
          <w:szCs w:val="20"/>
        </w:rPr>
      </w:pPr>
    </w:p>
    <w:p w14:paraId="18ECD6FF" w14:textId="77777777" w:rsidR="00D17EE7" w:rsidRDefault="00D17EE7" w:rsidP="00D17EE7">
      <w:pPr>
        <w:pStyle w:val="Listenabsatz"/>
        <w:numPr>
          <w:ilvl w:val="0"/>
          <w:numId w:val="3"/>
        </w:numPr>
        <w:spacing w:after="160" w:line="259" w:lineRule="auto"/>
        <w:rPr>
          <w:rFonts w:ascii="Verdana" w:hAnsi="Verdana" w:cs="Arial"/>
          <w:sz w:val="20"/>
          <w:szCs w:val="20"/>
        </w:rPr>
      </w:pPr>
      <w:r w:rsidRPr="00D17EE7">
        <w:rPr>
          <w:rFonts w:ascii="Verdana" w:hAnsi="Verdana" w:cs="Arial"/>
          <w:sz w:val="20"/>
          <w:szCs w:val="20"/>
        </w:rPr>
        <w:t xml:space="preserve">im Hinblick auf die weltweiten Entwicklungen im Frühjahr 2020 und in Anbetracht der Tatsache, dass die COVID-19-Pandemie sowie </w:t>
      </w:r>
      <w:r w:rsidR="00842310">
        <w:rPr>
          <w:rFonts w:ascii="Verdana" w:hAnsi="Verdana" w:cs="Arial"/>
          <w:sz w:val="20"/>
          <w:szCs w:val="20"/>
        </w:rPr>
        <w:t>die dadurch verursachten</w:t>
      </w:r>
      <w:r w:rsidRPr="00D17EE7">
        <w:rPr>
          <w:rFonts w:ascii="Verdana" w:hAnsi="Verdana" w:cs="Arial"/>
          <w:sz w:val="20"/>
          <w:szCs w:val="20"/>
        </w:rPr>
        <w:t xml:space="preserve"> Folgen und Belastungen eine vorübergehende Neubewertung unserer Reaktion auf andere Probleme und Herausforderungen er</w:t>
      </w:r>
      <w:r>
        <w:rPr>
          <w:rFonts w:ascii="Verdana" w:hAnsi="Verdana" w:cs="Arial"/>
          <w:sz w:val="20"/>
          <w:szCs w:val="20"/>
        </w:rPr>
        <w:t>forderlich gemacht haben, folgende</w:t>
      </w:r>
      <w:r w:rsidRPr="00D17EE7">
        <w:rPr>
          <w:rFonts w:ascii="Verdana" w:hAnsi="Verdana" w:cs="Arial"/>
          <w:sz w:val="20"/>
          <w:szCs w:val="20"/>
        </w:rPr>
        <w:t xml:space="preserve"> Grundsätze</w:t>
      </w:r>
      <w:r>
        <w:rPr>
          <w:rFonts w:ascii="Verdana" w:hAnsi="Verdana" w:cs="Arial"/>
          <w:sz w:val="20"/>
          <w:szCs w:val="20"/>
        </w:rPr>
        <w:t xml:space="preserve"> zu berücksichtigen</w:t>
      </w:r>
    </w:p>
    <w:p w14:paraId="5100A57D" w14:textId="77777777" w:rsidR="00D17EE7" w:rsidRPr="00D17EE7" w:rsidRDefault="00D17EE7" w:rsidP="00D17EE7">
      <w:pPr>
        <w:pStyle w:val="Listenabsatz"/>
        <w:rPr>
          <w:rFonts w:ascii="Verdana" w:hAnsi="Verdana" w:cs="Arial"/>
          <w:sz w:val="20"/>
          <w:szCs w:val="20"/>
        </w:rPr>
      </w:pPr>
    </w:p>
    <w:p w14:paraId="20D996BC" w14:textId="77777777" w:rsidR="00D17EE7" w:rsidRDefault="00D17EE7" w:rsidP="00D17EE7">
      <w:pPr>
        <w:pStyle w:val="Listenabsatz"/>
        <w:numPr>
          <w:ilvl w:val="1"/>
          <w:numId w:val="3"/>
        </w:numPr>
        <w:spacing w:after="160" w:line="259" w:lineRule="auto"/>
        <w:rPr>
          <w:rFonts w:ascii="Verdana" w:hAnsi="Verdana" w:cs="Arial"/>
          <w:sz w:val="20"/>
          <w:szCs w:val="20"/>
        </w:rPr>
      </w:pPr>
      <w:r w:rsidRPr="00D17EE7">
        <w:rPr>
          <w:rFonts w:ascii="Verdana" w:hAnsi="Verdana" w:cs="Arial"/>
          <w:sz w:val="20"/>
          <w:szCs w:val="20"/>
        </w:rPr>
        <w:t>Dem Thema Migration und Integration muss weiterhin hohe Priorität ein</w:t>
      </w:r>
      <w:r w:rsidR="00D56D26">
        <w:rPr>
          <w:rFonts w:ascii="Verdana" w:hAnsi="Verdana" w:cs="Arial"/>
          <w:sz w:val="20"/>
          <w:szCs w:val="20"/>
        </w:rPr>
        <w:t>geräumt werden</w:t>
      </w:r>
      <w:r w:rsidRPr="00D17EE7">
        <w:rPr>
          <w:rFonts w:ascii="Verdana" w:hAnsi="Verdana" w:cs="Arial"/>
          <w:sz w:val="20"/>
          <w:szCs w:val="20"/>
        </w:rPr>
        <w:t>;</w:t>
      </w:r>
    </w:p>
    <w:p w14:paraId="56787A78" w14:textId="77777777" w:rsidR="00D17EE7" w:rsidRDefault="00D17EE7" w:rsidP="00D17EE7">
      <w:pPr>
        <w:pStyle w:val="Listenabsatz"/>
        <w:numPr>
          <w:ilvl w:val="1"/>
          <w:numId w:val="3"/>
        </w:numPr>
        <w:spacing w:after="160" w:line="259" w:lineRule="auto"/>
        <w:rPr>
          <w:rFonts w:ascii="Verdana" w:hAnsi="Verdana" w:cs="Arial"/>
          <w:sz w:val="20"/>
          <w:szCs w:val="20"/>
        </w:rPr>
      </w:pPr>
      <w:r w:rsidRPr="00D17EE7">
        <w:rPr>
          <w:rFonts w:ascii="Verdana" w:hAnsi="Verdana" w:cs="Arial"/>
          <w:sz w:val="20"/>
          <w:szCs w:val="20"/>
        </w:rPr>
        <w:t>Die Migration in der Ostseeregion, in Europa und weltweit, ist und bleibt ein wesentliches Thema für die Länder und bringt weiterhin beispiellose humanitäre, wirtschaftliche, sicherheitspolitische und politische Herausforderungen mit sich;</w:t>
      </w:r>
    </w:p>
    <w:p w14:paraId="66FF3511" w14:textId="77777777" w:rsidR="00D17EE7" w:rsidRDefault="00D17EE7" w:rsidP="00D17EE7">
      <w:pPr>
        <w:pStyle w:val="Listenabsatz"/>
        <w:numPr>
          <w:ilvl w:val="1"/>
          <w:numId w:val="3"/>
        </w:numPr>
        <w:spacing w:after="160" w:line="259" w:lineRule="auto"/>
        <w:rPr>
          <w:rFonts w:ascii="Verdana" w:hAnsi="Verdana" w:cs="Arial"/>
          <w:sz w:val="20"/>
          <w:szCs w:val="20"/>
        </w:rPr>
      </w:pPr>
      <w:r w:rsidRPr="00D17EE7">
        <w:rPr>
          <w:rFonts w:ascii="Verdana" w:hAnsi="Verdana" w:cs="Arial"/>
          <w:sz w:val="20"/>
          <w:szCs w:val="20"/>
        </w:rPr>
        <w:t>Die</w:t>
      </w:r>
      <w:r w:rsidR="008C6625">
        <w:rPr>
          <w:rFonts w:ascii="Verdana" w:hAnsi="Verdana" w:cs="Arial"/>
          <w:sz w:val="20"/>
          <w:szCs w:val="20"/>
        </w:rPr>
        <w:t xml:space="preserve"> internationale Zusammenarbeit – auch in der Ostseeregion –</w:t>
      </w:r>
      <w:r w:rsidRPr="00D17EE7">
        <w:rPr>
          <w:rFonts w:ascii="Verdana" w:hAnsi="Verdana" w:cs="Arial"/>
          <w:sz w:val="20"/>
          <w:szCs w:val="20"/>
        </w:rPr>
        <w:t xml:space="preserve"> muss in diesem Politikbereich weiter verstärkt werden;</w:t>
      </w:r>
    </w:p>
    <w:p w14:paraId="67A3C775" w14:textId="77777777" w:rsidR="00D17EE7" w:rsidRDefault="00D17EE7" w:rsidP="00D17EE7">
      <w:pPr>
        <w:pStyle w:val="Listenabsatz"/>
        <w:numPr>
          <w:ilvl w:val="1"/>
          <w:numId w:val="3"/>
        </w:numPr>
        <w:spacing w:after="160" w:line="259" w:lineRule="auto"/>
        <w:rPr>
          <w:rFonts w:ascii="Verdana" w:hAnsi="Verdana" w:cs="Arial"/>
          <w:sz w:val="20"/>
          <w:szCs w:val="20"/>
        </w:rPr>
      </w:pPr>
      <w:r w:rsidRPr="00D17EE7">
        <w:rPr>
          <w:rFonts w:ascii="Verdana" w:hAnsi="Verdana" w:cs="Arial"/>
          <w:sz w:val="20"/>
          <w:szCs w:val="20"/>
        </w:rPr>
        <w:t>Die Frage der unbegleiteten Minderjährigen und gefährdeten Gruppen muss weiterhin im Mittelpunkt der Politik stehen;</w:t>
      </w:r>
    </w:p>
    <w:p w14:paraId="1127BE21" w14:textId="77777777" w:rsidR="00D17EE7" w:rsidRDefault="00D17EE7" w:rsidP="00D17EE7">
      <w:pPr>
        <w:pStyle w:val="Listenabsatz"/>
        <w:spacing w:after="160" w:line="259" w:lineRule="auto"/>
        <w:ind w:left="1440"/>
        <w:rPr>
          <w:rFonts w:ascii="Verdana" w:hAnsi="Verdana" w:cs="Arial"/>
          <w:sz w:val="20"/>
          <w:szCs w:val="20"/>
        </w:rPr>
      </w:pPr>
    </w:p>
    <w:p w14:paraId="3CB5BDAC" w14:textId="77777777" w:rsidR="00D17EE7" w:rsidRDefault="00D17EE7" w:rsidP="00D17EE7">
      <w:pPr>
        <w:pStyle w:val="Listenabsatz"/>
        <w:numPr>
          <w:ilvl w:val="0"/>
          <w:numId w:val="3"/>
        </w:numPr>
        <w:spacing w:after="160" w:line="259" w:lineRule="auto"/>
        <w:rPr>
          <w:rFonts w:ascii="Verdana" w:hAnsi="Verdana" w:cs="Arial"/>
          <w:sz w:val="20"/>
          <w:szCs w:val="20"/>
        </w:rPr>
      </w:pPr>
      <w:r w:rsidRPr="00D17EE7">
        <w:rPr>
          <w:rFonts w:ascii="Verdana" w:hAnsi="Verdana" w:cs="Arial"/>
          <w:sz w:val="20"/>
          <w:szCs w:val="20"/>
        </w:rPr>
        <w:t xml:space="preserve">die Institutionen und Projekte zu erhalten und weiterzuentwickeln, die in vielen Ländern des Ostseeraums infolge des starken Anstiegs der Flüchtlingszahlen in den Jahren 2015 und 2016 eingerichtet wurden und die entscheidend zu einer </w:t>
      </w:r>
      <w:r w:rsidRPr="00D17EE7">
        <w:rPr>
          <w:rFonts w:ascii="Verdana" w:hAnsi="Verdana" w:cs="Arial"/>
          <w:sz w:val="20"/>
          <w:szCs w:val="20"/>
        </w:rPr>
        <w:lastRenderedPageBreak/>
        <w:t xml:space="preserve">verbesserten Integration beigetragen haben, um </w:t>
      </w:r>
      <w:r w:rsidR="008C6625">
        <w:rPr>
          <w:rFonts w:ascii="Verdana" w:hAnsi="Verdana" w:cs="Arial"/>
          <w:sz w:val="20"/>
          <w:szCs w:val="20"/>
        </w:rPr>
        <w:t>auf zukünftige Bedürfnisse</w:t>
      </w:r>
      <w:r w:rsidRPr="00D17EE7">
        <w:rPr>
          <w:rFonts w:ascii="Verdana" w:hAnsi="Verdana" w:cs="Arial"/>
          <w:sz w:val="20"/>
          <w:szCs w:val="20"/>
        </w:rPr>
        <w:t xml:space="preserve"> in diesem Bereich besser </w:t>
      </w:r>
      <w:r w:rsidR="008C6625">
        <w:rPr>
          <w:rFonts w:ascii="Verdana" w:hAnsi="Verdana" w:cs="Arial"/>
          <w:sz w:val="20"/>
          <w:szCs w:val="20"/>
        </w:rPr>
        <w:t>zu reagieren</w:t>
      </w:r>
      <w:r w:rsidRPr="00D17EE7">
        <w:rPr>
          <w:rFonts w:ascii="Verdana" w:hAnsi="Verdana" w:cs="Arial"/>
          <w:sz w:val="20"/>
          <w:szCs w:val="20"/>
        </w:rPr>
        <w:t>;</w:t>
      </w:r>
    </w:p>
    <w:p w14:paraId="233A467A" w14:textId="77777777" w:rsidR="00D17EE7" w:rsidRDefault="00D17EE7" w:rsidP="00D17EE7">
      <w:pPr>
        <w:pStyle w:val="Listenabsatz"/>
        <w:spacing w:after="160" w:line="259" w:lineRule="auto"/>
        <w:rPr>
          <w:rFonts w:ascii="Verdana" w:hAnsi="Verdana" w:cs="Arial"/>
          <w:sz w:val="20"/>
          <w:szCs w:val="20"/>
        </w:rPr>
      </w:pPr>
    </w:p>
    <w:p w14:paraId="0DAE8BBE" w14:textId="77777777" w:rsidR="00D17EE7" w:rsidRDefault="00D17EE7" w:rsidP="00D17EE7">
      <w:pPr>
        <w:pStyle w:val="Listenabsatz"/>
        <w:numPr>
          <w:ilvl w:val="0"/>
          <w:numId w:val="3"/>
        </w:numPr>
        <w:spacing w:after="160" w:line="259" w:lineRule="auto"/>
        <w:rPr>
          <w:rFonts w:ascii="Verdana" w:hAnsi="Verdana" w:cs="Arial"/>
          <w:sz w:val="20"/>
          <w:szCs w:val="20"/>
        </w:rPr>
      </w:pPr>
      <w:r w:rsidRPr="00D17EE7">
        <w:rPr>
          <w:rFonts w:ascii="Verdana" w:hAnsi="Verdana" w:cs="Arial"/>
          <w:sz w:val="20"/>
          <w:szCs w:val="20"/>
        </w:rPr>
        <w:t xml:space="preserve">die Unterstützung der Kommunen </w:t>
      </w:r>
      <w:r w:rsidR="008C6625" w:rsidRPr="00D17EE7">
        <w:rPr>
          <w:rFonts w:ascii="Verdana" w:hAnsi="Verdana" w:cs="Arial"/>
          <w:sz w:val="20"/>
          <w:szCs w:val="20"/>
        </w:rPr>
        <w:t>bei dieser Aufgabe</w:t>
      </w:r>
      <w:r w:rsidR="008C6625">
        <w:rPr>
          <w:rFonts w:ascii="Verdana" w:hAnsi="Verdana" w:cs="Arial"/>
          <w:sz w:val="20"/>
          <w:szCs w:val="20"/>
        </w:rPr>
        <w:t xml:space="preserve"> auf Nationalebene</w:t>
      </w:r>
      <w:r w:rsidRPr="00D17EE7">
        <w:rPr>
          <w:rFonts w:ascii="Verdana" w:hAnsi="Verdana" w:cs="Arial"/>
          <w:sz w:val="20"/>
          <w:szCs w:val="20"/>
        </w:rPr>
        <w:t xml:space="preserve"> aufrechtzuerhalten und auszubauen, </w:t>
      </w:r>
      <w:r>
        <w:rPr>
          <w:rFonts w:ascii="Verdana" w:hAnsi="Verdana" w:cs="Arial"/>
          <w:sz w:val="20"/>
          <w:szCs w:val="20"/>
        </w:rPr>
        <w:t xml:space="preserve">da diese langfristig </w:t>
      </w:r>
      <w:r w:rsidRPr="00D17EE7">
        <w:rPr>
          <w:rFonts w:ascii="Verdana" w:hAnsi="Verdana" w:cs="Arial"/>
          <w:sz w:val="20"/>
          <w:szCs w:val="20"/>
        </w:rPr>
        <w:t xml:space="preserve">die Hauptverantwortung im </w:t>
      </w:r>
      <w:r w:rsidR="008C6625">
        <w:rPr>
          <w:rFonts w:ascii="Verdana" w:hAnsi="Verdana" w:cs="Arial"/>
          <w:sz w:val="20"/>
          <w:szCs w:val="20"/>
        </w:rPr>
        <w:t>Bereich der</w:t>
      </w:r>
      <w:r w:rsidRPr="00D17EE7">
        <w:rPr>
          <w:rFonts w:ascii="Verdana" w:hAnsi="Verdana" w:cs="Arial"/>
          <w:sz w:val="20"/>
          <w:szCs w:val="20"/>
        </w:rPr>
        <w:t xml:space="preserve"> nachhaltigen Integration und der Umsetzung langfristiger Integrationsmaßnahmen</w:t>
      </w:r>
      <w:r>
        <w:rPr>
          <w:rFonts w:ascii="Verdana" w:hAnsi="Verdana" w:cs="Arial"/>
          <w:sz w:val="20"/>
          <w:szCs w:val="20"/>
        </w:rPr>
        <w:t xml:space="preserve"> tragen</w:t>
      </w:r>
      <w:r w:rsidRPr="00D17EE7">
        <w:rPr>
          <w:rFonts w:ascii="Verdana" w:hAnsi="Verdana" w:cs="Arial"/>
          <w:sz w:val="20"/>
          <w:szCs w:val="20"/>
        </w:rPr>
        <w:t>;</w:t>
      </w:r>
    </w:p>
    <w:p w14:paraId="7C33AE31" w14:textId="77777777" w:rsidR="00D17EE7" w:rsidRPr="00D17EE7" w:rsidRDefault="00D17EE7" w:rsidP="00D17EE7">
      <w:pPr>
        <w:pStyle w:val="Listenabsatz"/>
        <w:rPr>
          <w:rFonts w:ascii="Verdana" w:hAnsi="Verdana" w:cs="Arial"/>
          <w:sz w:val="20"/>
          <w:szCs w:val="20"/>
        </w:rPr>
      </w:pPr>
    </w:p>
    <w:p w14:paraId="65AE9A84" w14:textId="77777777" w:rsidR="00D17EE7" w:rsidRPr="00D17EE7" w:rsidRDefault="002C7628" w:rsidP="00D17EE7">
      <w:pPr>
        <w:pStyle w:val="Listenabsatz"/>
        <w:numPr>
          <w:ilvl w:val="0"/>
          <w:numId w:val="3"/>
        </w:numPr>
        <w:spacing w:after="160" w:line="259" w:lineRule="auto"/>
        <w:rPr>
          <w:rFonts w:ascii="Verdana" w:hAnsi="Verdana" w:cs="Arial"/>
          <w:sz w:val="20"/>
          <w:szCs w:val="20"/>
        </w:rPr>
      </w:pPr>
      <w:r>
        <w:rPr>
          <w:rFonts w:ascii="Verdana" w:hAnsi="Verdana" w:cs="Arial"/>
          <w:sz w:val="20"/>
          <w:szCs w:val="20"/>
        </w:rPr>
        <w:t>erfolgreiche Beispiele</w:t>
      </w:r>
      <w:r w:rsidR="00D17EE7" w:rsidRPr="00D17EE7">
        <w:rPr>
          <w:rFonts w:ascii="Verdana" w:hAnsi="Verdana" w:cs="Arial"/>
          <w:sz w:val="20"/>
          <w:szCs w:val="20"/>
        </w:rPr>
        <w:t xml:space="preserve"> </w:t>
      </w:r>
      <w:r>
        <w:rPr>
          <w:rFonts w:ascii="Verdana" w:hAnsi="Verdana" w:cs="Arial"/>
          <w:sz w:val="20"/>
          <w:szCs w:val="20"/>
        </w:rPr>
        <w:t xml:space="preserve">von </w:t>
      </w:r>
      <w:r w:rsidR="00D17EE7">
        <w:rPr>
          <w:rFonts w:ascii="Verdana" w:hAnsi="Verdana" w:cs="Arial"/>
          <w:sz w:val="20"/>
          <w:szCs w:val="20"/>
        </w:rPr>
        <w:t>bewährte</w:t>
      </w:r>
      <w:r>
        <w:rPr>
          <w:rFonts w:ascii="Verdana" w:hAnsi="Verdana" w:cs="Arial"/>
          <w:sz w:val="20"/>
          <w:szCs w:val="20"/>
        </w:rPr>
        <w:t>n</w:t>
      </w:r>
      <w:r w:rsidR="00D17EE7">
        <w:rPr>
          <w:rFonts w:ascii="Verdana" w:hAnsi="Verdana" w:cs="Arial"/>
          <w:sz w:val="20"/>
          <w:szCs w:val="20"/>
        </w:rPr>
        <w:t xml:space="preserve"> </w:t>
      </w:r>
      <w:r w:rsidR="004153AB">
        <w:rPr>
          <w:rFonts w:ascii="Verdana" w:hAnsi="Verdana" w:cs="Arial"/>
          <w:sz w:val="20"/>
          <w:szCs w:val="20"/>
        </w:rPr>
        <w:t>Praktiken</w:t>
      </w:r>
      <w:r>
        <w:rPr>
          <w:rFonts w:ascii="Verdana" w:hAnsi="Verdana" w:cs="Arial"/>
          <w:sz w:val="20"/>
          <w:szCs w:val="20"/>
        </w:rPr>
        <w:t xml:space="preserve"> anderer</w:t>
      </w:r>
      <w:r w:rsidR="00D17EE7" w:rsidRPr="00D17EE7">
        <w:rPr>
          <w:rFonts w:ascii="Verdana" w:hAnsi="Verdana" w:cs="Arial"/>
          <w:sz w:val="20"/>
          <w:szCs w:val="20"/>
        </w:rPr>
        <w:t xml:space="preserve"> Ostseeanrainerstaaten aufzugreifen, von denen einige im Abschlussbericht der </w:t>
      </w:r>
      <w:r w:rsidR="004153AB">
        <w:rPr>
          <w:rFonts w:ascii="Verdana" w:hAnsi="Verdana" w:cs="Arial"/>
          <w:sz w:val="20"/>
          <w:szCs w:val="20"/>
        </w:rPr>
        <w:t xml:space="preserve">BSPC </w:t>
      </w:r>
      <w:r w:rsidR="00D17EE7">
        <w:rPr>
          <w:rFonts w:ascii="Verdana" w:hAnsi="Verdana" w:cs="Arial"/>
          <w:sz w:val="20"/>
          <w:szCs w:val="20"/>
        </w:rPr>
        <w:t>Arbeitsgruppe</w:t>
      </w:r>
      <w:r w:rsidR="00D17EE7" w:rsidRPr="00D17EE7">
        <w:rPr>
          <w:rFonts w:ascii="Verdana" w:hAnsi="Verdana" w:cs="Arial"/>
          <w:sz w:val="20"/>
          <w:szCs w:val="20"/>
        </w:rPr>
        <w:t xml:space="preserve"> "Migration und Integration"</w:t>
      </w:r>
      <w:r w:rsidR="00D17EE7">
        <w:rPr>
          <w:rFonts w:ascii="Verdana" w:hAnsi="Verdana" w:cs="Arial"/>
          <w:sz w:val="20"/>
          <w:szCs w:val="20"/>
        </w:rPr>
        <w:t xml:space="preserve"> </w:t>
      </w:r>
      <w:r w:rsidR="00D17EE7" w:rsidRPr="00D17EE7">
        <w:rPr>
          <w:rFonts w:ascii="Verdana" w:hAnsi="Verdana" w:cs="Arial"/>
          <w:sz w:val="20"/>
          <w:szCs w:val="20"/>
        </w:rPr>
        <w:t>hervorg</w:t>
      </w:r>
      <w:r w:rsidR="00906596">
        <w:rPr>
          <w:rFonts w:ascii="Verdana" w:hAnsi="Verdana" w:cs="Arial"/>
          <w:sz w:val="20"/>
          <w:szCs w:val="20"/>
        </w:rPr>
        <w:t>ehoben werden, sofern sie in die</w:t>
      </w:r>
      <w:r w:rsidR="00D17EE7" w:rsidRPr="00D17EE7">
        <w:rPr>
          <w:rFonts w:ascii="Verdana" w:hAnsi="Verdana" w:cs="Arial"/>
          <w:sz w:val="20"/>
          <w:szCs w:val="20"/>
        </w:rPr>
        <w:t xml:space="preserve"> jeweiligen rechtlichen und strukturellen Rahmen integriert werden können.</w:t>
      </w:r>
    </w:p>
    <w:p w14:paraId="766A9896" w14:textId="77777777" w:rsidR="00D17EE7" w:rsidRPr="00D17EE7" w:rsidRDefault="00D17EE7" w:rsidP="00D17EE7">
      <w:pPr>
        <w:spacing w:after="160" w:line="259" w:lineRule="auto"/>
        <w:rPr>
          <w:rFonts w:ascii="Verdana" w:hAnsi="Verdana" w:cs="Arial"/>
          <w:sz w:val="20"/>
          <w:szCs w:val="20"/>
        </w:rPr>
      </w:pPr>
    </w:p>
    <w:p w14:paraId="726C9C23" w14:textId="77777777" w:rsidR="00D17EE7" w:rsidRDefault="00D17EE7" w:rsidP="00D17EE7">
      <w:pPr>
        <w:rPr>
          <w:rFonts w:ascii="Verdana" w:hAnsi="Verdana"/>
          <w:b/>
          <w:sz w:val="20"/>
          <w:szCs w:val="20"/>
          <w:lang w:val="en-GB"/>
        </w:rPr>
      </w:pPr>
      <w:proofErr w:type="spellStart"/>
      <w:r w:rsidRPr="00E81BBD">
        <w:rPr>
          <w:rFonts w:ascii="Verdana" w:hAnsi="Verdana"/>
          <w:b/>
          <w:sz w:val="20"/>
          <w:szCs w:val="20"/>
          <w:lang w:val="en-GB"/>
        </w:rPr>
        <w:t>Ferner</w:t>
      </w:r>
      <w:proofErr w:type="spellEnd"/>
      <w:r w:rsidRPr="00E81BBD">
        <w:rPr>
          <w:rFonts w:ascii="Verdana" w:hAnsi="Verdana"/>
          <w:b/>
          <w:sz w:val="20"/>
          <w:szCs w:val="20"/>
          <w:lang w:val="en-GB"/>
        </w:rPr>
        <w:t xml:space="preserve"> </w:t>
      </w:r>
      <w:proofErr w:type="spellStart"/>
      <w:r w:rsidRPr="00E81BBD">
        <w:rPr>
          <w:rFonts w:ascii="Verdana" w:hAnsi="Verdana"/>
          <w:b/>
          <w:sz w:val="20"/>
          <w:szCs w:val="20"/>
          <w:lang w:val="en-GB"/>
        </w:rPr>
        <w:t>beschließt</w:t>
      </w:r>
      <w:proofErr w:type="spellEnd"/>
      <w:r w:rsidRPr="00E81BBD">
        <w:rPr>
          <w:rFonts w:ascii="Verdana" w:hAnsi="Verdana"/>
          <w:b/>
          <w:sz w:val="20"/>
          <w:szCs w:val="20"/>
          <w:lang w:val="en-GB"/>
        </w:rPr>
        <w:t xml:space="preserve"> die </w:t>
      </w:r>
      <w:proofErr w:type="spellStart"/>
      <w:r w:rsidRPr="00E81BBD">
        <w:rPr>
          <w:rFonts w:ascii="Verdana" w:hAnsi="Verdana"/>
          <w:b/>
          <w:sz w:val="20"/>
          <w:szCs w:val="20"/>
          <w:lang w:val="en-GB"/>
        </w:rPr>
        <w:t>Konferenz</w:t>
      </w:r>
      <w:proofErr w:type="spellEnd"/>
      <w:r w:rsidRPr="00E81BBD">
        <w:rPr>
          <w:rFonts w:ascii="Verdana" w:hAnsi="Verdana"/>
          <w:b/>
          <w:sz w:val="20"/>
          <w:szCs w:val="20"/>
          <w:lang w:val="en-GB"/>
        </w:rPr>
        <w:t>,</w:t>
      </w:r>
      <w:r w:rsidRPr="002661E8">
        <w:rPr>
          <w:rFonts w:ascii="Verdana" w:hAnsi="Verdana"/>
          <w:b/>
          <w:sz w:val="20"/>
          <w:szCs w:val="20"/>
          <w:lang w:val="en-GB"/>
        </w:rPr>
        <w:t xml:space="preserve"> </w:t>
      </w:r>
    </w:p>
    <w:p w14:paraId="4BAEEF6A" w14:textId="77777777" w:rsidR="00D17EE7" w:rsidRDefault="00D17EE7" w:rsidP="00D17EE7">
      <w:pPr>
        <w:rPr>
          <w:rFonts w:ascii="Verdana" w:hAnsi="Verdana"/>
          <w:sz w:val="20"/>
          <w:szCs w:val="20"/>
          <w:lang w:val="en-GB"/>
        </w:rPr>
      </w:pPr>
    </w:p>
    <w:p w14:paraId="1123835D" w14:textId="77777777" w:rsidR="00D17EE7" w:rsidRDefault="00D17EE7" w:rsidP="00D17EE7">
      <w:pPr>
        <w:rPr>
          <w:rFonts w:ascii="Verdana" w:hAnsi="Verdana"/>
          <w:sz w:val="20"/>
          <w:szCs w:val="20"/>
          <w:lang w:val="en-GB"/>
        </w:rPr>
      </w:pPr>
    </w:p>
    <w:p w14:paraId="1A732FB3" w14:textId="77777777" w:rsidR="00D17EE7" w:rsidRDefault="00D17EE7" w:rsidP="00D17EE7">
      <w:pPr>
        <w:pStyle w:val="Listenabsatz"/>
        <w:numPr>
          <w:ilvl w:val="0"/>
          <w:numId w:val="3"/>
        </w:numPr>
        <w:rPr>
          <w:rFonts w:ascii="Verdana" w:hAnsi="Verdana"/>
          <w:sz w:val="20"/>
          <w:szCs w:val="20"/>
        </w:rPr>
      </w:pPr>
      <w:r w:rsidRPr="00D17EE7">
        <w:rPr>
          <w:rFonts w:ascii="Verdana" w:hAnsi="Verdana"/>
          <w:sz w:val="20"/>
          <w:szCs w:val="20"/>
        </w:rPr>
        <w:t>auf der Grundlage der Beschlüss</w:t>
      </w:r>
      <w:r>
        <w:rPr>
          <w:rFonts w:ascii="Verdana" w:hAnsi="Verdana"/>
          <w:sz w:val="20"/>
          <w:szCs w:val="20"/>
        </w:rPr>
        <w:t xml:space="preserve">e des </w:t>
      </w:r>
      <w:r w:rsidR="00906596">
        <w:rPr>
          <w:rFonts w:ascii="Verdana" w:hAnsi="Verdana"/>
          <w:sz w:val="20"/>
          <w:szCs w:val="20"/>
        </w:rPr>
        <w:t xml:space="preserve">BSPC Standing </w:t>
      </w:r>
      <w:proofErr w:type="spellStart"/>
      <w:r w:rsidR="00906596">
        <w:rPr>
          <w:rFonts w:ascii="Verdana" w:hAnsi="Verdana"/>
          <w:sz w:val="20"/>
          <w:szCs w:val="20"/>
        </w:rPr>
        <w:t>Committee</w:t>
      </w:r>
      <w:proofErr w:type="spellEnd"/>
      <w:r>
        <w:rPr>
          <w:rFonts w:ascii="Verdana" w:hAnsi="Verdana"/>
          <w:sz w:val="20"/>
          <w:szCs w:val="20"/>
        </w:rPr>
        <w:t xml:space="preserve"> </w:t>
      </w:r>
      <w:r w:rsidRPr="00D17EE7">
        <w:rPr>
          <w:rFonts w:ascii="Verdana" w:hAnsi="Verdana"/>
          <w:sz w:val="20"/>
          <w:szCs w:val="20"/>
        </w:rPr>
        <w:t xml:space="preserve">eine auf zwei Jahre angelegte Arbeitsgruppe für Klimawandel und </w:t>
      </w:r>
      <w:r w:rsidR="00906596">
        <w:rPr>
          <w:rFonts w:ascii="Verdana" w:hAnsi="Verdana"/>
          <w:sz w:val="20"/>
          <w:szCs w:val="20"/>
        </w:rPr>
        <w:t>Biodiversität</w:t>
      </w:r>
      <w:r>
        <w:rPr>
          <w:rFonts w:ascii="Verdana" w:hAnsi="Verdana"/>
          <w:sz w:val="20"/>
          <w:szCs w:val="20"/>
        </w:rPr>
        <w:t xml:space="preserve"> einzurichten –</w:t>
      </w:r>
      <w:r w:rsidRPr="00D17EE7">
        <w:rPr>
          <w:rFonts w:ascii="Verdana" w:hAnsi="Verdana"/>
          <w:sz w:val="20"/>
          <w:szCs w:val="20"/>
        </w:rPr>
        <w:t xml:space="preserve"> die auf der 30. </w:t>
      </w:r>
      <w:r w:rsidR="00906596">
        <w:rPr>
          <w:rFonts w:ascii="Verdana" w:hAnsi="Verdana"/>
          <w:sz w:val="20"/>
          <w:szCs w:val="20"/>
        </w:rPr>
        <w:t>Ostseeparlamentarierkonferenz</w:t>
      </w:r>
      <w:r w:rsidRPr="00D17EE7">
        <w:rPr>
          <w:rFonts w:ascii="Verdana" w:hAnsi="Verdana"/>
          <w:sz w:val="20"/>
          <w:szCs w:val="20"/>
        </w:rPr>
        <w:t xml:space="preserve"> einen ersten Bericht vorlegen soll </w:t>
      </w:r>
      <w:r>
        <w:rPr>
          <w:rFonts w:ascii="Verdana" w:hAnsi="Verdana"/>
          <w:sz w:val="20"/>
          <w:szCs w:val="20"/>
        </w:rPr>
        <w:t>–</w:t>
      </w:r>
      <w:r w:rsidRPr="00D17EE7">
        <w:rPr>
          <w:rFonts w:ascii="Verdana" w:hAnsi="Verdana"/>
          <w:sz w:val="20"/>
          <w:szCs w:val="20"/>
        </w:rPr>
        <w:t xml:space="preserve"> </w:t>
      </w:r>
      <w:r>
        <w:rPr>
          <w:rFonts w:ascii="Verdana" w:hAnsi="Verdana"/>
          <w:sz w:val="20"/>
          <w:szCs w:val="20"/>
        </w:rPr>
        <w:t>welche besondere</w:t>
      </w:r>
      <w:r w:rsidRPr="00D17EE7">
        <w:rPr>
          <w:rFonts w:ascii="Verdana" w:hAnsi="Verdana"/>
          <w:sz w:val="20"/>
          <w:szCs w:val="20"/>
        </w:rPr>
        <w:t xml:space="preserve"> Schwerpunkt</w:t>
      </w:r>
      <w:r>
        <w:rPr>
          <w:rFonts w:ascii="Verdana" w:hAnsi="Verdana"/>
          <w:sz w:val="20"/>
          <w:szCs w:val="20"/>
        </w:rPr>
        <w:t>e</w:t>
      </w:r>
      <w:r w:rsidRPr="00D17EE7">
        <w:rPr>
          <w:rFonts w:ascii="Verdana" w:hAnsi="Verdana"/>
          <w:sz w:val="20"/>
          <w:szCs w:val="20"/>
        </w:rPr>
        <w:t xml:space="preserve"> auf </w:t>
      </w:r>
      <w:r>
        <w:rPr>
          <w:rFonts w:ascii="Verdana" w:hAnsi="Verdana"/>
          <w:sz w:val="20"/>
          <w:szCs w:val="20"/>
        </w:rPr>
        <w:t>die</w:t>
      </w:r>
      <w:r w:rsidRPr="00D17EE7">
        <w:rPr>
          <w:rFonts w:ascii="Verdana" w:hAnsi="Verdana"/>
          <w:sz w:val="20"/>
          <w:szCs w:val="20"/>
        </w:rPr>
        <w:t xml:space="preserve"> Notwendigkeit gemeinsamer und durch grenzüberschreitende Zusammenarbeit verbesserter Lösungen zur Erhaltung der dem gesamten Ostseeraum innewohnenden biologischen Vielfalt und </w:t>
      </w:r>
      <w:r>
        <w:rPr>
          <w:rFonts w:ascii="Verdana" w:hAnsi="Verdana"/>
          <w:sz w:val="20"/>
          <w:szCs w:val="20"/>
        </w:rPr>
        <w:t>der</w:t>
      </w:r>
      <w:r w:rsidRPr="00D17EE7">
        <w:rPr>
          <w:rFonts w:ascii="Verdana" w:hAnsi="Verdana"/>
          <w:sz w:val="20"/>
          <w:szCs w:val="20"/>
        </w:rPr>
        <w:t xml:space="preserve"> </w:t>
      </w:r>
      <w:r w:rsidR="00906596">
        <w:rPr>
          <w:rFonts w:ascii="Verdana" w:hAnsi="Verdana"/>
          <w:sz w:val="20"/>
          <w:szCs w:val="20"/>
        </w:rPr>
        <w:t>Eindämmung der</w:t>
      </w:r>
      <w:r w:rsidRPr="00D17EE7">
        <w:rPr>
          <w:rFonts w:ascii="Verdana" w:hAnsi="Verdana"/>
          <w:sz w:val="20"/>
          <w:szCs w:val="20"/>
        </w:rPr>
        <w:t xml:space="preserve"> Auswirkungen </w:t>
      </w:r>
      <w:r>
        <w:rPr>
          <w:rFonts w:ascii="Verdana" w:hAnsi="Verdana"/>
          <w:sz w:val="20"/>
          <w:szCs w:val="20"/>
        </w:rPr>
        <w:t xml:space="preserve">des Klimawandels mit besonderer </w:t>
      </w:r>
      <w:r w:rsidR="00906596">
        <w:rPr>
          <w:rFonts w:ascii="Verdana" w:hAnsi="Verdana"/>
          <w:sz w:val="20"/>
          <w:szCs w:val="20"/>
        </w:rPr>
        <w:t>Berücksichtigung</w:t>
      </w:r>
    </w:p>
    <w:p w14:paraId="4FF9A03F" w14:textId="77777777" w:rsidR="00D17EE7" w:rsidRDefault="00D17EE7" w:rsidP="00D17EE7">
      <w:pPr>
        <w:pStyle w:val="Listenabsatz"/>
        <w:rPr>
          <w:rFonts w:ascii="Verdana" w:hAnsi="Verdana"/>
          <w:sz w:val="20"/>
          <w:szCs w:val="20"/>
        </w:rPr>
      </w:pPr>
    </w:p>
    <w:p w14:paraId="36856FE6" w14:textId="77777777" w:rsidR="00D17EE7" w:rsidRPr="00D17EE7" w:rsidRDefault="00906596" w:rsidP="00D17EE7">
      <w:pPr>
        <w:pStyle w:val="Listenabsatz"/>
        <w:numPr>
          <w:ilvl w:val="0"/>
          <w:numId w:val="4"/>
        </w:numPr>
        <w:rPr>
          <w:rFonts w:ascii="Verdana" w:hAnsi="Verdana"/>
          <w:sz w:val="20"/>
          <w:szCs w:val="20"/>
        </w:rPr>
      </w:pPr>
      <w:r>
        <w:rPr>
          <w:rFonts w:ascii="Verdana" w:hAnsi="Verdana"/>
          <w:sz w:val="20"/>
          <w:szCs w:val="20"/>
        </w:rPr>
        <w:t>des</w:t>
      </w:r>
      <w:r w:rsidR="00D17EE7" w:rsidRPr="00D17EE7">
        <w:rPr>
          <w:rFonts w:ascii="Verdana" w:hAnsi="Verdana"/>
          <w:sz w:val="20"/>
          <w:szCs w:val="20"/>
        </w:rPr>
        <w:t xml:space="preserve"> Stand</w:t>
      </w:r>
      <w:r>
        <w:rPr>
          <w:rFonts w:ascii="Verdana" w:hAnsi="Verdana"/>
          <w:sz w:val="20"/>
          <w:szCs w:val="20"/>
        </w:rPr>
        <w:t>es</w:t>
      </w:r>
      <w:r w:rsidR="00D17EE7" w:rsidRPr="00D17EE7">
        <w:rPr>
          <w:rFonts w:ascii="Verdana" w:hAnsi="Verdana"/>
          <w:sz w:val="20"/>
          <w:szCs w:val="20"/>
        </w:rPr>
        <w:t xml:space="preserve"> der </w:t>
      </w:r>
      <w:r w:rsidR="00D17EE7">
        <w:rPr>
          <w:rFonts w:ascii="Verdana" w:hAnsi="Verdana"/>
          <w:sz w:val="20"/>
          <w:szCs w:val="20"/>
        </w:rPr>
        <w:t>politischen Ziele</w:t>
      </w:r>
      <w:r w:rsidR="00D17EE7" w:rsidRPr="00D17EE7">
        <w:rPr>
          <w:rFonts w:ascii="Verdana" w:hAnsi="Verdana"/>
          <w:sz w:val="20"/>
          <w:szCs w:val="20"/>
        </w:rPr>
        <w:t xml:space="preserve"> und Strategien in Bezug auf den Klimawandel</w:t>
      </w:r>
      <w:r w:rsidR="00D17EE7">
        <w:rPr>
          <w:rFonts w:ascii="Verdana" w:hAnsi="Verdana"/>
          <w:sz w:val="20"/>
          <w:szCs w:val="20"/>
        </w:rPr>
        <w:t xml:space="preserve"> und </w:t>
      </w:r>
      <w:r>
        <w:rPr>
          <w:rFonts w:ascii="Verdana" w:hAnsi="Verdana"/>
          <w:sz w:val="20"/>
          <w:szCs w:val="20"/>
        </w:rPr>
        <w:t>Biodiversität</w:t>
      </w:r>
      <w:r w:rsidR="00D17EE7" w:rsidRPr="00D17EE7">
        <w:rPr>
          <w:rFonts w:ascii="Verdana" w:hAnsi="Verdana"/>
          <w:sz w:val="20"/>
          <w:szCs w:val="20"/>
        </w:rPr>
        <w:t xml:space="preserve"> im Ostseeraum;</w:t>
      </w:r>
    </w:p>
    <w:p w14:paraId="38228A52" w14:textId="77777777" w:rsidR="00D17EE7" w:rsidRPr="00D17EE7" w:rsidRDefault="00D17EE7" w:rsidP="00D17EE7">
      <w:pPr>
        <w:pStyle w:val="Listenabsatz"/>
        <w:numPr>
          <w:ilvl w:val="0"/>
          <w:numId w:val="4"/>
        </w:numPr>
        <w:rPr>
          <w:rFonts w:ascii="Verdana" w:hAnsi="Verdana"/>
          <w:sz w:val="20"/>
          <w:szCs w:val="20"/>
        </w:rPr>
      </w:pPr>
      <w:r w:rsidRPr="00D17EE7">
        <w:rPr>
          <w:rFonts w:ascii="Verdana" w:hAnsi="Verdana"/>
          <w:sz w:val="20"/>
          <w:szCs w:val="20"/>
        </w:rPr>
        <w:t>bewährte</w:t>
      </w:r>
      <w:r w:rsidR="001C554C">
        <w:rPr>
          <w:rFonts w:ascii="Verdana" w:hAnsi="Verdana"/>
          <w:sz w:val="20"/>
          <w:szCs w:val="20"/>
        </w:rPr>
        <w:t>r</w:t>
      </w:r>
      <w:r w:rsidRPr="00D17EE7">
        <w:rPr>
          <w:rFonts w:ascii="Verdana" w:hAnsi="Verdana"/>
          <w:sz w:val="20"/>
          <w:szCs w:val="20"/>
        </w:rPr>
        <w:t xml:space="preserve"> Praktiken bei der Bewältigung der miteinander verknüpften Herausforderungen der </w:t>
      </w:r>
      <w:r w:rsidR="001C554C">
        <w:rPr>
          <w:rFonts w:ascii="Verdana" w:hAnsi="Verdana"/>
          <w:sz w:val="20"/>
          <w:szCs w:val="20"/>
        </w:rPr>
        <w:t>Biodiversität</w:t>
      </w:r>
      <w:r w:rsidRPr="00D17EE7">
        <w:rPr>
          <w:rFonts w:ascii="Verdana" w:hAnsi="Verdana"/>
          <w:sz w:val="20"/>
          <w:szCs w:val="20"/>
        </w:rPr>
        <w:t xml:space="preserve"> und des Klimawandels mit besonderem Schwerpunkt auf der Ostsee; </w:t>
      </w:r>
    </w:p>
    <w:p w14:paraId="2021355F" w14:textId="77777777" w:rsidR="00D17EE7" w:rsidRPr="00D17EE7" w:rsidRDefault="001C554C" w:rsidP="00D17EE7">
      <w:pPr>
        <w:pStyle w:val="Listenabsatz"/>
        <w:numPr>
          <w:ilvl w:val="0"/>
          <w:numId w:val="4"/>
        </w:numPr>
        <w:rPr>
          <w:rFonts w:ascii="Verdana" w:hAnsi="Verdana"/>
          <w:sz w:val="20"/>
          <w:szCs w:val="20"/>
        </w:rPr>
      </w:pPr>
      <w:r>
        <w:rPr>
          <w:rFonts w:ascii="Verdana" w:hAnsi="Verdana"/>
          <w:sz w:val="20"/>
          <w:szCs w:val="20"/>
        </w:rPr>
        <w:t xml:space="preserve">der </w:t>
      </w:r>
      <w:r w:rsidR="00D17EE7" w:rsidRPr="00D17EE7">
        <w:rPr>
          <w:rFonts w:ascii="Verdana" w:hAnsi="Verdana"/>
          <w:sz w:val="20"/>
          <w:szCs w:val="20"/>
        </w:rPr>
        <w:t xml:space="preserve">Innovationen und Maßnahmen zur Bekämpfung des Klimawandels und zur Erhaltung der </w:t>
      </w:r>
      <w:r>
        <w:rPr>
          <w:rFonts w:ascii="Verdana" w:hAnsi="Verdana"/>
          <w:sz w:val="20"/>
          <w:szCs w:val="20"/>
        </w:rPr>
        <w:t>Biodiversität</w:t>
      </w:r>
      <w:r w:rsidR="00D17EE7" w:rsidRPr="00D17EE7">
        <w:rPr>
          <w:rFonts w:ascii="Verdana" w:hAnsi="Verdana"/>
          <w:sz w:val="20"/>
          <w:szCs w:val="20"/>
        </w:rPr>
        <w:t>;</w:t>
      </w:r>
    </w:p>
    <w:p w14:paraId="35093F3A" w14:textId="77777777" w:rsidR="00D17EE7" w:rsidRPr="00D17EE7" w:rsidRDefault="001C554C" w:rsidP="00D17EE7">
      <w:pPr>
        <w:pStyle w:val="Listenabsatz"/>
        <w:numPr>
          <w:ilvl w:val="0"/>
          <w:numId w:val="4"/>
        </w:numPr>
        <w:rPr>
          <w:rFonts w:ascii="Verdana" w:hAnsi="Verdana"/>
          <w:sz w:val="20"/>
          <w:szCs w:val="20"/>
        </w:rPr>
      </w:pPr>
      <w:r>
        <w:rPr>
          <w:rFonts w:ascii="Verdana" w:hAnsi="Verdana"/>
          <w:sz w:val="20"/>
          <w:szCs w:val="20"/>
        </w:rPr>
        <w:t xml:space="preserve">der </w:t>
      </w:r>
      <w:r w:rsidR="00D17EE7" w:rsidRPr="00D17EE7">
        <w:rPr>
          <w:rFonts w:ascii="Verdana" w:hAnsi="Verdana"/>
          <w:sz w:val="20"/>
          <w:szCs w:val="20"/>
        </w:rPr>
        <w:t xml:space="preserve">Anpassung an den Klimawandel und </w:t>
      </w:r>
      <w:r>
        <w:rPr>
          <w:rFonts w:ascii="Verdana" w:hAnsi="Verdana"/>
          <w:sz w:val="20"/>
          <w:szCs w:val="20"/>
        </w:rPr>
        <w:t xml:space="preserve">der </w:t>
      </w:r>
      <w:r w:rsidR="00D17EE7" w:rsidRPr="00D17EE7">
        <w:rPr>
          <w:rFonts w:ascii="Verdana" w:hAnsi="Verdana"/>
          <w:sz w:val="20"/>
          <w:szCs w:val="20"/>
        </w:rPr>
        <w:t>Herausforderungen für Wissenschaft, Technologie und Wirtschaft</w:t>
      </w:r>
      <w:r>
        <w:rPr>
          <w:rFonts w:ascii="Verdana" w:hAnsi="Verdana"/>
          <w:sz w:val="20"/>
          <w:szCs w:val="20"/>
        </w:rPr>
        <w:t>;</w:t>
      </w:r>
    </w:p>
    <w:p w14:paraId="3ECB5303" w14:textId="77777777" w:rsidR="00D17EE7" w:rsidRPr="00D17EE7" w:rsidRDefault="001C554C" w:rsidP="00D17EE7">
      <w:pPr>
        <w:pStyle w:val="Listenabsatz"/>
        <w:numPr>
          <w:ilvl w:val="0"/>
          <w:numId w:val="4"/>
        </w:numPr>
        <w:rPr>
          <w:rFonts w:ascii="Verdana" w:hAnsi="Verdana"/>
          <w:sz w:val="20"/>
          <w:szCs w:val="20"/>
        </w:rPr>
      </w:pPr>
      <w:r>
        <w:rPr>
          <w:rFonts w:ascii="Verdana" w:hAnsi="Verdana"/>
          <w:sz w:val="20"/>
          <w:szCs w:val="20"/>
        </w:rPr>
        <w:t xml:space="preserve">der </w:t>
      </w:r>
      <w:r w:rsidR="00D17EE7" w:rsidRPr="00D17EE7">
        <w:rPr>
          <w:rFonts w:ascii="Verdana" w:hAnsi="Verdana"/>
          <w:sz w:val="20"/>
          <w:szCs w:val="20"/>
        </w:rPr>
        <w:t xml:space="preserve">Gewährleistung effizienter und umweltfreundlicher Lösungen für </w:t>
      </w:r>
      <w:r>
        <w:rPr>
          <w:rFonts w:ascii="Verdana" w:hAnsi="Verdana"/>
          <w:sz w:val="20"/>
          <w:szCs w:val="20"/>
        </w:rPr>
        <w:t>Verkehr</w:t>
      </w:r>
      <w:r w:rsidR="00D17EE7" w:rsidRPr="00D17EE7">
        <w:rPr>
          <w:rFonts w:ascii="Verdana" w:hAnsi="Verdana"/>
          <w:sz w:val="20"/>
          <w:szCs w:val="20"/>
        </w:rPr>
        <w:t xml:space="preserve"> und Energieversorgung</w:t>
      </w:r>
      <w:r>
        <w:rPr>
          <w:rFonts w:ascii="Verdana" w:hAnsi="Verdana"/>
          <w:sz w:val="20"/>
          <w:szCs w:val="20"/>
        </w:rPr>
        <w:t>;</w:t>
      </w:r>
    </w:p>
    <w:p w14:paraId="193C63BF" w14:textId="77777777" w:rsidR="00D17EE7" w:rsidRDefault="00D17EE7" w:rsidP="00D17EE7">
      <w:pPr>
        <w:rPr>
          <w:rFonts w:ascii="Verdana" w:hAnsi="Verdana" w:cs="Arial"/>
          <w:sz w:val="20"/>
          <w:szCs w:val="20"/>
        </w:rPr>
      </w:pPr>
    </w:p>
    <w:p w14:paraId="3CCB5F11" w14:textId="77777777" w:rsidR="00D17EE7" w:rsidRDefault="00D17EE7" w:rsidP="00D17EE7">
      <w:pPr>
        <w:ind w:left="708"/>
        <w:rPr>
          <w:rFonts w:ascii="Verdana" w:hAnsi="Verdana" w:cs="Arial"/>
          <w:sz w:val="20"/>
          <w:szCs w:val="20"/>
        </w:rPr>
      </w:pPr>
      <w:r>
        <w:rPr>
          <w:rFonts w:ascii="Verdana" w:hAnsi="Verdana" w:cs="Arial"/>
          <w:sz w:val="20"/>
          <w:szCs w:val="20"/>
        </w:rPr>
        <w:t xml:space="preserve">und </w:t>
      </w:r>
      <w:r w:rsidRPr="00D17EE7">
        <w:rPr>
          <w:rFonts w:ascii="Verdana" w:hAnsi="Verdana" w:cs="Arial"/>
          <w:sz w:val="20"/>
          <w:szCs w:val="20"/>
        </w:rPr>
        <w:t>ihre Aufmerksamkeit auf die ökologische Seite des Klimawandels und der Biodiversität sowie auf Innovation</w:t>
      </w:r>
      <w:r w:rsidR="002C7628">
        <w:rPr>
          <w:rFonts w:ascii="Verdana" w:hAnsi="Verdana" w:cs="Arial"/>
          <w:sz w:val="20"/>
          <w:szCs w:val="20"/>
        </w:rPr>
        <w:t>en</w:t>
      </w:r>
      <w:r w:rsidRPr="00D17EE7">
        <w:rPr>
          <w:rFonts w:ascii="Verdana" w:hAnsi="Verdana" w:cs="Arial"/>
          <w:sz w:val="20"/>
          <w:szCs w:val="20"/>
        </w:rPr>
        <w:t>, Technologie und we</w:t>
      </w:r>
      <w:r>
        <w:rPr>
          <w:rFonts w:ascii="Verdana" w:hAnsi="Verdana" w:cs="Arial"/>
          <w:sz w:val="20"/>
          <w:szCs w:val="20"/>
        </w:rPr>
        <w:t>itere wirtschaftliche Aspekte konzentriert</w:t>
      </w:r>
      <w:r w:rsidRPr="00D17EE7">
        <w:rPr>
          <w:rFonts w:ascii="Verdana" w:hAnsi="Verdana" w:cs="Arial"/>
          <w:sz w:val="20"/>
          <w:szCs w:val="20"/>
        </w:rPr>
        <w:t xml:space="preserve">; </w:t>
      </w:r>
    </w:p>
    <w:p w14:paraId="610AF05B" w14:textId="77777777" w:rsidR="00D17EE7" w:rsidRDefault="00D17EE7" w:rsidP="00D17EE7">
      <w:pPr>
        <w:rPr>
          <w:rFonts w:ascii="Verdana" w:hAnsi="Verdana" w:cs="Arial"/>
          <w:sz w:val="20"/>
          <w:szCs w:val="20"/>
        </w:rPr>
      </w:pPr>
    </w:p>
    <w:p w14:paraId="7BB3C373" w14:textId="77777777" w:rsidR="00D17EE7" w:rsidRPr="00D17EE7" w:rsidRDefault="00D17EE7" w:rsidP="00D17EE7">
      <w:pPr>
        <w:pStyle w:val="Listenabsatz"/>
        <w:numPr>
          <w:ilvl w:val="0"/>
          <w:numId w:val="3"/>
        </w:numPr>
        <w:spacing w:after="160" w:line="259" w:lineRule="auto"/>
        <w:rPr>
          <w:rFonts w:ascii="Verdana" w:hAnsi="Verdana"/>
          <w:sz w:val="20"/>
          <w:szCs w:val="20"/>
        </w:rPr>
      </w:pPr>
      <w:r w:rsidRPr="00D17EE7">
        <w:rPr>
          <w:rFonts w:ascii="Verdana" w:hAnsi="Verdana"/>
          <w:sz w:val="20"/>
          <w:szCs w:val="20"/>
        </w:rPr>
        <w:t xml:space="preserve">das freundliche Angebot des </w:t>
      </w:r>
      <w:r w:rsidRPr="00D17EE7">
        <w:rPr>
          <w:rFonts w:ascii="Verdana" w:hAnsi="Verdana"/>
          <w:color w:val="000000"/>
          <w:sz w:val="20"/>
          <w:szCs w:val="20"/>
        </w:rPr>
        <w:t>schwedischen</w:t>
      </w:r>
      <w:r w:rsidRPr="00D17EE7">
        <w:rPr>
          <w:rFonts w:ascii="Verdana" w:hAnsi="Verdana"/>
          <w:sz w:val="20"/>
          <w:szCs w:val="20"/>
        </w:rPr>
        <w:t xml:space="preserve"> Parlaments </w:t>
      </w:r>
      <w:r w:rsidR="00D036FC">
        <w:rPr>
          <w:rFonts w:ascii="Verdana" w:hAnsi="Verdana"/>
          <w:sz w:val="20"/>
          <w:szCs w:val="20"/>
        </w:rPr>
        <w:t>dankbar</w:t>
      </w:r>
      <w:r w:rsidRPr="00D17EE7">
        <w:rPr>
          <w:rFonts w:ascii="Verdana" w:hAnsi="Verdana"/>
          <w:sz w:val="20"/>
          <w:szCs w:val="20"/>
        </w:rPr>
        <w:t xml:space="preserve"> zu begrüßen, die</w:t>
      </w:r>
      <w:r>
        <w:rPr>
          <w:rFonts w:ascii="Verdana" w:hAnsi="Verdana"/>
          <w:color w:val="000000"/>
          <w:sz w:val="20"/>
          <w:szCs w:val="20"/>
        </w:rPr>
        <w:t xml:space="preserve"> 30</w:t>
      </w:r>
      <w:r w:rsidRPr="00D17EE7">
        <w:rPr>
          <w:rFonts w:ascii="Verdana" w:hAnsi="Verdana"/>
          <w:color w:val="000000"/>
          <w:sz w:val="20"/>
          <w:szCs w:val="20"/>
        </w:rPr>
        <w:t>.</w:t>
      </w:r>
      <w:r>
        <w:rPr>
          <w:rFonts w:ascii="Verdana" w:hAnsi="Verdana"/>
          <w:color w:val="000000"/>
          <w:sz w:val="20"/>
          <w:szCs w:val="20"/>
        </w:rPr>
        <w:t xml:space="preserve"> </w:t>
      </w:r>
      <w:r w:rsidRPr="00D17EE7">
        <w:rPr>
          <w:rFonts w:ascii="Verdana" w:hAnsi="Verdana"/>
          <w:sz w:val="20"/>
          <w:szCs w:val="20"/>
        </w:rPr>
        <w:t xml:space="preserve">Ostseeparlamentarierkonferenz vom </w:t>
      </w:r>
      <w:r>
        <w:rPr>
          <w:rFonts w:ascii="Verdana" w:hAnsi="Verdana"/>
          <w:sz w:val="20"/>
          <w:szCs w:val="20"/>
        </w:rPr>
        <w:t>29</w:t>
      </w:r>
      <w:r w:rsidRPr="00D17EE7">
        <w:rPr>
          <w:rFonts w:ascii="Verdana" w:hAnsi="Verdana"/>
          <w:sz w:val="20"/>
          <w:szCs w:val="20"/>
        </w:rPr>
        <w:t xml:space="preserve">. bis </w:t>
      </w:r>
      <w:r>
        <w:rPr>
          <w:rFonts w:ascii="Verdana" w:hAnsi="Verdana"/>
          <w:sz w:val="20"/>
          <w:szCs w:val="20"/>
        </w:rPr>
        <w:t>31</w:t>
      </w:r>
      <w:r w:rsidRPr="00D17EE7">
        <w:rPr>
          <w:rFonts w:ascii="Verdana" w:hAnsi="Verdana"/>
          <w:sz w:val="20"/>
          <w:szCs w:val="20"/>
        </w:rPr>
        <w:t>.</w:t>
      </w:r>
      <w:r w:rsidR="00D036FC">
        <w:rPr>
          <w:rFonts w:ascii="Verdana" w:hAnsi="Verdana"/>
          <w:sz w:val="20"/>
          <w:szCs w:val="20"/>
        </w:rPr>
        <w:t xml:space="preserve"> </w:t>
      </w:r>
      <w:r>
        <w:rPr>
          <w:rFonts w:ascii="Verdana" w:hAnsi="Verdana"/>
          <w:sz w:val="20"/>
          <w:szCs w:val="20"/>
        </w:rPr>
        <w:t>August 2021</w:t>
      </w:r>
      <w:r w:rsidRPr="00D17EE7">
        <w:rPr>
          <w:rFonts w:ascii="Verdana" w:hAnsi="Verdana"/>
          <w:sz w:val="20"/>
          <w:szCs w:val="20"/>
        </w:rPr>
        <w:t xml:space="preserve"> in </w:t>
      </w:r>
      <w:r>
        <w:rPr>
          <w:rFonts w:ascii="Verdana" w:hAnsi="Verdana"/>
          <w:color w:val="000000"/>
          <w:sz w:val="20"/>
          <w:szCs w:val="20"/>
        </w:rPr>
        <w:t>Stockholm</w:t>
      </w:r>
      <w:r w:rsidRPr="00D17EE7">
        <w:rPr>
          <w:rFonts w:ascii="Verdana" w:hAnsi="Verdana"/>
          <w:sz w:val="20"/>
          <w:szCs w:val="20"/>
        </w:rPr>
        <w:t xml:space="preserve"> auszurichten.</w:t>
      </w:r>
    </w:p>
    <w:sectPr w:rsidR="00D17EE7" w:rsidRPr="00D17EE7" w:rsidSect="0026197E">
      <w:footerReference w:type="default" r:id="rId9"/>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514F6" w14:textId="77777777" w:rsidR="00DE787A" w:rsidRDefault="00DE787A" w:rsidP="00D17EE7">
      <w:r>
        <w:separator/>
      </w:r>
    </w:p>
  </w:endnote>
  <w:endnote w:type="continuationSeparator" w:id="0">
    <w:p w14:paraId="7AEEB7C2" w14:textId="77777777" w:rsidR="00DE787A" w:rsidRDefault="00DE787A" w:rsidP="00D17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711856"/>
      <w:docPartObj>
        <w:docPartGallery w:val="Page Numbers (Bottom of Page)"/>
        <w:docPartUnique/>
      </w:docPartObj>
    </w:sdtPr>
    <w:sdtEndPr>
      <w:rPr>
        <w:rFonts w:asciiTheme="minorHAnsi" w:hAnsiTheme="minorHAnsi"/>
        <w:sz w:val="22"/>
      </w:rPr>
    </w:sdtEndPr>
    <w:sdtContent>
      <w:p w14:paraId="533BF3DA" w14:textId="42594D18" w:rsidR="00D17EE7" w:rsidRPr="00D17EE7" w:rsidRDefault="00D17EE7">
        <w:pPr>
          <w:pStyle w:val="Fuzeile"/>
          <w:rPr>
            <w:rFonts w:asciiTheme="minorHAnsi" w:hAnsiTheme="minorHAnsi"/>
            <w:sz w:val="22"/>
          </w:rPr>
        </w:pPr>
        <w:r w:rsidRPr="00D17EE7">
          <w:rPr>
            <w:rFonts w:asciiTheme="minorHAnsi" w:hAnsiTheme="minorHAnsi"/>
            <w:sz w:val="22"/>
          </w:rPr>
          <w:fldChar w:fldCharType="begin"/>
        </w:r>
        <w:r w:rsidRPr="00D17EE7">
          <w:rPr>
            <w:rFonts w:asciiTheme="minorHAnsi" w:hAnsiTheme="minorHAnsi"/>
            <w:sz w:val="22"/>
          </w:rPr>
          <w:instrText>PAGE   \* MERGEFORMAT</w:instrText>
        </w:r>
        <w:r w:rsidRPr="00D17EE7">
          <w:rPr>
            <w:rFonts w:asciiTheme="minorHAnsi" w:hAnsiTheme="minorHAnsi"/>
            <w:sz w:val="22"/>
          </w:rPr>
          <w:fldChar w:fldCharType="separate"/>
        </w:r>
        <w:r w:rsidR="009E5F3F">
          <w:rPr>
            <w:rFonts w:asciiTheme="minorHAnsi" w:hAnsiTheme="minorHAnsi"/>
            <w:noProof/>
            <w:sz w:val="22"/>
          </w:rPr>
          <w:t>6</w:t>
        </w:r>
        <w:r w:rsidRPr="00D17EE7">
          <w:rPr>
            <w:rFonts w:asciiTheme="minorHAnsi" w:hAnsiTheme="minorHAnsi"/>
            <w:sz w:val="22"/>
          </w:rPr>
          <w:fldChar w:fldCharType="end"/>
        </w:r>
      </w:p>
    </w:sdtContent>
  </w:sdt>
  <w:p w14:paraId="3E06C67D" w14:textId="77777777" w:rsidR="00D17EE7" w:rsidRDefault="00D17E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65908" w14:textId="77777777" w:rsidR="00DE787A" w:rsidRDefault="00DE787A" w:rsidP="00D17EE7">
      <w:r>
        <w:separator/>
      </w:r>
    </w:p>
  </w:footnote>
  <w:footnote w:type="continuationSeparator" w:id="0">
    <w:p w14:paraId="0DD8DB96" w14:textId="77777777" w:rsidR="00DE787A" w:rsidRDefault="00DE787A" w:rsidP="00D17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C4947"/>
    <w:multiLevelType w:val="hybridMultilevel"/>
    <w:tmpl w:val="A45E45A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991BD6"/>
    <w:multiLevelType w:val="hybridMultilevel"/>
    <w:tmpl w:val="43FEBB78"/>
    <w:lvl w:ilvl="0" w:tplc="E08C1D4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CC4F7F"/>
    <w:multiLevelType w:val="hybridMultilevel"/>
    <w:tmpl w:val="9A90F5BC"/>
    <w:lvl w:ilvl="0" w:tplc="E08C1D4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5AD24D4"/>
    <w:multiLevelType w:val="hybridMultilevel"/>
    <w:tmpl w:val="FF3C36A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757150E3"/>
    <w:multiLevelType w:val="hybridMultilevel"/>
    <w:tmpl w:val="765C41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16B"/>
    <w:rsid w:val="00032AE6"/>
    <w:rsid w:val="0003508A"/>
    <w:rsid w:val="000541CF"/>
    <w:rsid w:val="000B5BDB"/>
    <w:rsid w:val="000C0BF8"/>
    <w:rsid w:val="000E73A1"/>
    <w:rsid w:val="00103B28"/>
    <w:rsid w:val="001134A0"/>
    <w:rsid w:val="0018019B"/>
    <w:rsid w:val="001C554C"/>
    <w:rsid w:val="001D22B5"/>
    <w:rsid w:val="002050A8"/>
    <w:rsid w:val="00223FD9"/>
    <w:rsid w:val="0026197E"/>
    <w:rsid w:val="00293A9F"/>
    <w:rsid w:val="002C6E0F"/>
    <w:rsid w:val="002C7628"/>
    <w:rsid w:val="003227F1"/>
    <w:rsid w:val="00353232"/>
    <w:rsid w:val="00382526"/>
    <w:rsid w:val="0039251D"/>
    <w:rsid w:val="003D68DD"/>
    <w:rsid w:val="004153AB"/>
    <w:rsid w:val="00432CDD"/>
    <w:rsid w:val="00487E11"/>
    <w:rsid w:val="005835EE"/>
    <w:rsid w:val="005C4887"/>
    <w:rsid w:val="005D33B3"/>
    <w:rsid w:val="00601C56"/>
    <w:rsid w:val="00624C4A"/>
    <w:rsid w:val="00652E49"/>
    <w:rsid w:val="0069469C"/>
    <w:rsid w:val="006A2C00"/>
    <w:rsid w:val="006D033C"/>
    <w:rsid w:val="006D50C4"/>
    <w:rsid w:val="00713E48"/>
    <w:rsid w:val="00791453"/>
    <w:rsid w:val="007A1996"/>
    <w:rsid w:val="007A516B"/>
    <w:rsid w:val="007B2ACD"/>
    <w:rsid w:val="007D2B2D"/>
    <w:rsid w:val="0081588D"/>
    <w:rsid w:val="00842310"/>
    <w:rsid w:val="00855405"/>
    <w:rsid w:val="008A687D"/>
    <w:rsid w:val="008C35E5"/>
    <w:rsid w:val="008C6625"/>
    <w:rsid w:val="008F6368"/>
    <w:rsid w:val="00906596"/>
    <w:rsid w:val="00974F94"/>
    <w:rsid w:val="009E5F3F"/>
    <w:rsid w:val="00A06A8A"/>
    <w:rsid w:val="00A55F42"/>
    <w:rsid w:val="00A72E6A"/>
    <w:rsid w:val="00A9038D"/>
    <w:rsid w:val="00A91921"/>
    <w:rsid w:val="00AB1936"/>
    <w:rsid w:val="00AB24CB"/>
    <w:rsid w:val="00AB4C67"/>
    <w:rsid w:val="00AD7F06"/>
    <w:rsid w:val="00B05CF8"/>
    <w:rsid w:val="00B50036"/>
    <w:rsid w:val="00BE780E"/>
    <w:rsid w:val="00C053E2"/>
    <w:rsid w:val="00C4231A"/>
    <w:rsid w:val="00C72C31"/>
    <w:rsid w:val="00CC7E54"/>
    <w:rsid w:val="00CE6A5B"/>
    <w:rsid w:val="00D036FC"/>
    <w:rsid w:val="00D17EE7"/>
    <w:rsid w:val="00D56D26"/>
    <w:rsid w:val="00D67AE9"/>
    <w:rsid w:val="00DC3B6A"/>
    <w:rsid w:val="00DE787A"/>
    <w:rsid w:val="00E117AE"/>
    <w:rsid w:val="00E632B0"/>
    <w:rsid w:val="00E778D8"/>
    <w:rsid w:val="00EC660A"/>
    <w:rsid w:val="00ED4C3D"/>
    <w:rsid w:val="00F326F0"/>
    <w:rsid w:val="00FA2040"/>
    <w:rsid w:val="00FA2D15"/>
    <w:rsid w:val="00FC6105"/>
    <w:rsid w:val="00FF58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6FE99"/>
  <w15:chartTrackingRefBased/>
  <w15:docId w15:val="{BCECF155-B581-4B21-BA35-EC8A54C27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7EE7"/>
    <w:pPr>
      <w:ind w:left="720"/>
      <w:contextualSpacing/>
    </w:pPr>
  </w:style>
  <w:style w:type="paragraph" w:styleId="Kopfzeile">
    <w:name w:val="header"/>
    <w:basedOn w:val="Standard"/>
    <w:link w:val="KopfzeileZchn"/>
    <w:uiPriority w:val="99"/>
    <w:unhideWhenUsed/>
    <w:rsid w:val="00D17EE7"/>
    <w:pPr>
      <w:tabs>
        <w:tab w:val="center" w:pos="4536"/>
        <w:tab w:val="right" w:pos="9072"/>
      </w:tabs>
    </w:pPr>
  </w:style>
  <w:style w:type="character" w:customStyle="1" w:styleId="KopfzeileZchn">
    <w:name w:val="Kopfzeile Zchn"/>
    <w:basedOn w:val="Absatz-Standardschriftart"/>
    <w:link w:val="Kopfzeile"/>
    <w:uiPriority w:val="99"/>
    <w:rsid w:val="00D17EE7"/>
  </w:style>
  <w:style w:type="paragraph" w:styleId="Fuzeile">
    <w:name w:val="footer"/>
    <w:basedOn w:val="Standard"/>
    <w:link w:val="FuzeileZchn"/>
    <w:uiPriority w:val="99"/>
    <w:unhideWhenUsed/>
    <w:rsid w:val="00D17EE7"/>
    <w:pPr>
      <w:tabs>
        <w:tab w:val="center" w:pos="4536"/>
        <w:tab w:val="right" w:pos="9072"/>
      </w:tabs>
    </w:pPr>
  </w:style>
  <w:style w:type="character" w:customStyle="1" w:styleId="FuzeileZchn">
    <w:name w:val="Fußzeile Zchn"/>
    <w:basedOn w:val="Absatz-Standardschriftart"/>
    <w:link w:val="Fuzeile"/>
    <w:uiPriority w:val="99"/>
    <w:rsid w:val="00D17EE7"/>
  </w:style>
  <w:style w:type="paragraph" w:styleId="Sprechblasentext">
    <w:name w:val="Balloon Text"/>
    <w:basedOn w:val="Standard"/>
    <w:link w:val="SprechblasentextZchn"/>
    <w:uiPriority w:val="99"/>
    <w:semiHidden/>
    <w:unhideWhenUsed/>
    <w:rsid w:val="00CC7E5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7E54"/>
    <w:rPr>
      <w:rFonts w:ascii="Segoe UI" w:hAnsi="Segoe UI" w:cs="Segoe UI"/>
      <w:sz w:val="18"/>
      <w:szCs w:val="18"/>
    </w:rPr>
  </w:style>
  <w:style w:type="character" w:styleId="Kommentarzeichen">
    <w:name w:val="annotation reference"/>
    <w:basedOn w:val="Absatz-Standardschriftart"/>
    <w:uiPriority w:val="99"/>
    <w:semiHidden/>
    <w:unhideWhenUsed/>
    <w:rsid w:val="0069469C"/>
    <w:rPr>
      <w:sz w:val="16"/>
      <w:szCs w:val="16"/>
    </w:rPr>
  </w:style>
  <w:style w:type="paragraph" w:styleId="Kommentartext">
    <w:name w:val="annotation text"/>
    <w:basedOn w:val="Standard"/>
    <w:link w:val="KommentartextZchn"/>
    <w:uiPriority w:val="99"/>
    <w:semiHidden/>
    <w:unhideWhenUsed/>
    <w:rsid w:val="0069469C"/>
    <w:rPr>
      <w:sz w:val="20"/>
      <w:szCs w:val="20"/>
    </w:rPr>
  </w:style>
  <w:style w:type="character" w:customStyle="1" w:styleId="KommentartextZchn">
    <w:name w:val="Kommentartext Zchn"/>
    <w:basedOn w:val="Absatz-Standardschriftart"/>
    <w:link w:val="Kommentartext"/>
    <w:uiPriority w:val="99"/>
    <w:semiHidden/>
    <w:rsid w:val="0069469C"/>
    <w:rPr>
      <w:sz w:val="20"/>
      <w:szCs w:val="20"/>
    </w:rPr>
  </w:style>
  <w:style w:type="paragraph" w:styleId="Kommentarthema">
    <w:name w:val="annotation subject"/>
    <w:basedOn w:val="Kommentartext"/>
    <w:next w:val="Kommentartext"/>
    <w:link w:val="KommentarthemaZchn"/>
    <w:uiPriority w:val="99"/>
    <w:semiHidden/>
    <w:unhideWhenUsed/>
    <w:rsid w:val="0069469C"/>
    <w:rPr>
      <w:b/>
      <w:bCs/>
    </w:rPr>
  </w:style>
  <w:style w:type="character" w:customStyle="1" w:styleId="KommentarthemaZchn">
    <w:name w:val="Kommentarthema Zchn"/>
    <w:basedOn w:val="KommentartextZchn"/>
    <w:link w:val="Kommentarthema"/>
    <w:uiPriority w:val="99"/>
    <w:semiHidden/>
    <w:rsid w:val="006946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DF8AC-841B-4751-B773-41110BC85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2196</Words>
  <Characters>13835</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
    </vt:vector>
  </TitlesOfParts>
  <Company>Landtag Mecklenburg-Vorpommern</Company>
  <LinksUpToDate>false</LinksUpToDate>
  <CharactersWithSpaces>16000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Verwaltung</dc:creator>
  <cp:keywords/>
  <dc:description/>
  <cp:lastModifiedBy>Verwaltung</cp:lastModifiedBy>
  <cp:revision>7</cp:revision>
  <cp:lastPrinted>2020-09-14T08:57:00Z</cp:lastPrinted>
  <dcterms:created xsi:type="dcterms:W3CDTF">2020-09-14T12:58:00Z</dcterms:created>
  <dcterms:modified xsi:type="dcterms:W3CDTF">2020-09-14T14:28:00Z</dcterms:modified>
</cp:coreProperties>
</file>