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4D4B1" w14:textId="2FC95165" w:rsidR="002661E8" w:rsidRDefault="002661E8" w:rsidP="002661E8">
      <w:pPr>
        <w:jc w:val="center"/>
        <w:rPr>
          <w:b/>
          <w:sz w:val="24"/>
          <w:szCs w:val="24"/>
          <w:highlight w:val="yellow"/>
          <w:lang w:val="en-GB"/>
        </w:rPr>
      </w:pPr>
      <w:r w:rsidRPr="001D0565">
        <w:rPr>
          <w:noProof/>
          <w:lang w:eastAsia="ru-RU"/>
        </w:rPr>
        <w:drawing>
          <wp:inline distT="0" distB="0" distL="0" distR="0" wp14:anchorId="59446D80" wp14:editId="3129B13A">
            <wp:extent cx="2803021" cy="931492"/>
            <wp:effectExtent l="0" t="0" r="0" b="0"/>
            <wp:docPr id="8" name="Grafik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825" cy="973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C7820" w14:textId="77777777" w:rsidR="002661E8" w:rsidRDefault="002661E8" w:rsidP="00924E8B">
      <w:pPr>
        <w:rPr>
          <w:b/>
          <w:sz w:val="24"/>
          <w:szCs w:val="24"/>
          <w:highlight w:val="yellow"/>
          <w:lang w:val="en-GB"/>
        </w:rPr>
      </w:pPr>
    </w:p>
    <w:p w14:paraId="256FC63E" w14:textId="7100E4B9" w:rsidR="00924E8B" w:rsidRPr="00F304FE" w:rsidRDefault="009C3A29" w:rsidP="002661E8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eastAsia="Verdana" w:hAnsi="Verdana" w:cs="Verdana"/>
          <w:b/>
          <w:sz w:val="32"/>
          <w:szCs w:val="32"/>
          <w:lang w:bidi="ru-RU"/>
        </w:rPr>
        <w:t>Резолюция</w:t>
      </w:r>
      <w:r w:rsidR="00924E8B" w:rsidRPr="00816680">
        <w:rPr>
          <w:rFonts w:ascii="Verdana" w:eastAsia="Verdana" w:hAnsi="Verdana" w:cs="Verdana"/>
          <w:b/>
          <w:sz w:val="32"/>
          <w:szCs w:val="32"/>
          <w:lang w:bidi="ru-RU"/>
        </w:rPr>
        <w:t xml:space="preserve"> Конференции</w:t>
      </w:r>
    </w:p>
    <w:p w14:paraId="23F660C1" w14:textId="3DEA8BF4" w:rsidR="003565ED" w:rsidRPr="00F304FE" w:rsidRDefault="003565ED" w:rsidP="002661E8">
      <w:pPr>
        <w:jc w:val="center"/>
        <w:rPr>
          <w:rFonts w:ascii="Verdana" w:hAnsi="Verdana"/>
          <w:b/>
        </w:rPr>
      </w:pPr>
    </w:p>
    <w:p w14:paraId="6A07E030" w14:textId="77777777" w:rsidR="003565ED" w:rsidRPr="00F304FE" w:rsidRDefault="003565ED" w:rsidP="002661E8">
      <w:pPr>
        <w:jc w:val="center"/>
        <w:rPr>
          <w:rFonts w:ascii="Verdana" w:hAnsi="Verdana"/>
          <w:b/>
        </w:rPr>
      </w:pPr>
    </w:p>
    <w:p w14:paraId="7ECD61F3" w14:textId="0BBAF72B" w:rsidR="002661E8" w:rsidRPr="00F304FE" w:rsidRDefault="007A64E4" w:rsidP="00924E8B">
      <w:pPr>
        <w:rPr>
          <w:rFonts w:ascii="Verdana" w:hAnsi="Verdana"/>
          <w:bCs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lang w:bidi="ru-RU"/>
        </w:rPr>
        <w:t>При</w:t>
      </w:r>
      <w:r w:rsidR="00816680">
        <w:rPr>
          <w:rFonts w:ascii="Verdana" w:eastAsia="Verdana" w:hAnsi="Verdana" w:cs="Verdana"/>
          <w:sz w:val="20"/>
          <w:szCs w:val="20"/>
          <w:lang w:bidi="ru-RU"/>
        </w:rPr>
        <w:t>нят</w:t>
      </w:r>
      <w:r>
        <w:rPr>
          <w:rFonts w:ascii="Verdana" w:eastAsia="Verdana" w:hAnsi="Verdana" w:cs="Verdana"/>
          <w:sz w:val="20"/>
          <w:szCs w:val="20"/>
          <w:lang w:bidi="ru-RU"/>
        </w:rPr>
        <w:t>а</w:t>
      </w:r>
      <w:r w:rsidR="00816680">
        <w:rPr>
          <w:rFonts w:ascii="Verdana" w:eastAsia="Verdana" w:hAnsi="Verdana" w:cs="Verdana"/>
          <w:sz w:val="20"/>
          <w:szCs w:val="20"/>
          <w:lang w:bidi="ru-RU"/>
        </w:rPr>
        <w:t xml:space="preserve"> 28-й Парламентской конференцией Балтийского моря (ПКБМ)</w:t>
      </w:r>
      <w:r>
        <w:rPr>
          <w:rFonts w:ascii="Verdana" w:eastAsia="Verdana" w:hAnsi="Verdana" w:cs="Verdana"/>
          <w:sz w:val="20"/>
          <w:szCs w:val="20"/>
          <w:lang w:bidi="ru-RU"/>
        </w:rPr>
        <w:t xml:space="preserve"> в Осло 27 августа 2019 г.</w:t>
      </w:r>
    </w:p>
    <w:p w14:paraId="5F5C9AA3" w14:textId="77777777" w:rsidR="002661E8" w:rsidRPr="00F304FE" w:rsidRDefault="002661E8" w:rsidP="00924E8B">
      <w:pPr>
        <w:rPr>
          <w:rFonts w:ascii="Verdana" w:hAnsi="Verdana"/>
          <w:bCs/>
          <w:sz w:val="20"/>
          <w:szCs w:val="20"/>
        </w:rPr>
      </w:pPr>
    </w:p>
    <w:p w14:paraId="5A8EC395" w14:textId="28339EB7" w:rsidR="00924E8B" w:rsidRPr="00F304FE" w:rsidRDefault="00924E8B" w:rsidP="00924E8B">
      <w:pPr>
        <w:rPr>
          <w:rFonts w:ascii="Verdana" w:hAnsi="Verdana"/>
          <w:bCs/>
          <w:sz w:val="20"/>
          <w:szCs w:val="20"/>
        </w:rPr>
      </w:pPr>
      <w:r w:rsidRPr="002661E8">
        <w:rPr>
          <w:rFonts w:ascii="Verdana" w:eastAsia="Verdana" w:hAnsi="Verdana" w:cs="Verdana"/>
          <w:sz w:val="20"/>
          <w:szCs w:val="20"/>
          <w:lang w:bidi="ru-RU"/>
        </w:rPr>
        <w:t xml:space="preserve">Участники, избранные представители государств региона Балтийского моря*, собравшиеся в Осло, Норвегия, 25-27 августа 2019 года, </w:t>
      </w:r>
    </w:p>
    <w:p w14:paraId="3036476B" w14:textId="0735DB4D" w:rsidR="00924E8B" w:rsidRPr="00F304FE" w:rsidRDefault="000B1EFC" w:rsidP="00924E8B">
      <w:pPr>
        <w:rPr>
          <w:rFonts w:ascii="Verdana" w:hAnsi="Verdana"/>
          <w:sz w:val="20"/>
          <w:szCs w:val="20"/>
        </w:rPr>
      </w:pPr>
      <w:r w:rsidRPr="002661E8">
        <w:rPr>
          <w:rFonts w:ascii="Verdana" w:eastAsia="Verdana" w:hAnsi="Verdana" w:cs="Verdana"/>
          <w:sz w:val="20"/>
          <w:szCs w:val="20"/>
          <w:lang w:bidi="ru-RU"/>
        </w:rPr>
        <w:t xml:space="preserve"> </w:t>
      </w:r>
    </w:p>
    <w:p w14:paraId="2D5E997B" w14:textId="342A44C0" w:rsidR="00924E8B" w:rsidRPr="00F304FE" w:rsidRDefault="002661E8" w:rsidP="002661E8">
      <w:pPr>
        <w:pStyle w:val="Listenabsatz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lang w:bidi="ru-RU"/>
        </w:rPr>
        <w:t xml:space="preserve">подчеркивая важность непрерывного и устойчивого политического диалога в регионе Балтийского моря, который ведется через Совет государств Балтийского моря (СГБМ), выступающий в качестве общего регионального форума, в целях сосредоточения внимания на необходимости сотрудничества и координации между государствами Балтийского моря, </w:t>
      </w:r>
    </w:p>
    <w:p w14:paraId="2132D3B6" w14:textId="77777777" w:rsidR="004C0E8A" w:rsidRPr="00F304FE" w:rsidRDefault="004C0E8A" w:rsidP="002661E8">
      <w:pPr>
        <w:pStyle w:val="Listenabsatz"/>
        <w:jc w:val="both"/>
        <w:rPr>
          <w:rFonts w:ascii="Verdana" w:hAnsi="Verdana"/>
          <w:sz w:val="20"/>
          <w:szCs w:val="20"/>
        </w:rPr>
      </w:pPr>
    </w:p>
    <w:p w14:paraId="35F0A04B" w14:textId="0CF1D183" w:rsidR="004C0E8A" w:rsidRPr="00F304FE" w:rsidRDefault="002661E8" w:rsidP="002661E8">
      <w:pPr>
        <w:pStyle w:val="Listenabsatz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lang w:bidi="ru-RU"/>
        </w:rPr>
        <w:t>подчеркивая необходимость мирного и тесного сотрудничества и добрососедства на основе демократических ценностей, верховенства права, соблюдения прав человека, а также равных возможностей для всех, и призывая к продолжению регулярных встреч Министров иностранных дел СГБМ, в том числе под председательством Дании, а также снова призывая возобновить проведение саммитов глав правительств государств Балтийского моря, если возможно, и способствовать более тесному сотрудничеству на уровне других министров;</w:t>
      </w:r>
    </w:p>
    <w:p w14:paraId="6B423968" w14:textId="77777777" w:rsidR="004C0E8A" w:rsidRPr="00F304FE" w:rsidRDefault="004C0E8A" w:rsidP="002661E8">
      <w:pPr>
        <w:pStyle w:val="Listenabsatz"/>
        <w:jc w:val="both"/>
        <w:rPr>
          <w:rFonts w:ascii="Verdana" w:hAnsi="Verdana"/>
          <w:sz w:val="20"/>
          <w:szCs w:val="20"/>
        </w:rPr>
      </w:pPr>
    </w:p>
    <w:p w14:paraId="66A134A7" w14:textId="6479421E" w:rsidR="00924E8B" w:rsidRPr="00F304FE" w:rsidRDefault="002661E8" w:rsidP="002661E8">
      <w:pPr>
        <w:pStyle w:val="Listenabsatz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lang w:bidi="ru-RU"/>
        </w:rPr>
        <w:t xml:space="preserve">с удовлетворением отмечая успехи, достигнутые в развитии практического сотрудничества в регионе Балтийского моря в рамках Совета государств Балтийского моря, Северного измерения, программ трансграничного сотрудничества между государствами-членами ЕС и Россией, а также программы Интеррег региона Балтийского моря; </w:t>
      </w:r>
    </w:p>
    <w:p w14:paraId="516DDDD5" w14:textId="77777777" w:rsidR="004C0E8A" w:rsidRPr="00F304FE" w:rsidRDefault="004C0E8A" w:rsidP="002661E8">
      <w:pPr>
        <w:pStyle w:val="Listenabsatz"/>
        <w:jc w:val="both"/>
        <w:rPr>
          <w:rFonts w:ascii="Verdana" w:hAnsi="Verdana"/>
          <w:sz w:val="20"/>
          <w:szCs w:val="20"/>
        </w:rPr>
      </w:pPr>
    </w:p>
    <w:p w14:paraId="7EE4152F" w14:textId="2FDE7000" w:rsidR="00924E8B" w:rsidRPr="00F304FE" w:rsidRDefault="002661E8" w:rsidP="002661E8">
      <w:pPr>
        <w:pStyle w:val="Listenabsatz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lang w:bidi="ru-RU"/>
        </w:rPr>
        <w:t xml:space="preserve">приветствуя усилия Латвии в течение срока председательства в СГБМ по улучшению согласованности сотрудничества в регионе Балтийского моря и признавая успешное развитие СГБМ - на основе приоритетов Добросовестности и Социальной защищенности, Диалога и Ответственности; </w:t>
      </w:r>
    </w:p>
    <w:p w14:paraId="0F0D9FFE" w14:textId="77777777" w:rsidR="004C0E8A" w:rsidRPr="00F304FE" w:rsidRDefault="004C0E8A" w:rsidP="002661E8">
      <w:pPr>
        <w:pStyle w:val="Listenabsatz"/>
        <w:jc w:val="both"/>
        <w:rPr>
          <w:rFonts w:ascii="Verdana" w:hAnsi="Verdana"/>
          <w:sz w:val="20"/>
          <w:szCs w:val="20"/>
        </w:rPr>
      </w:pPr>
    </w:p>
    <w:p w14:paraId="18BF86C0" w14:textId="30DA8307" w:rsidR="00924E8B" w:rsidRPr="00F304FE" w:rsidRDefault="002661E8" w:rsidP="002661E8">
      <w:pPr>
        <w:pStyle w:val="Listenabsatz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lang w:bidi="ru-RU"/>
        </w:rPr>
        <w:t xml:space="preserve">подчеркивая успешную работу Механизма поддержки проектов СГБМ в качестве эффективного инструмента поддержки и поощрения сотрудничества в рамках проектов в регионе Балтийского моря; </w:t>
      </w:r>
    </w:p>
    <w:p w14:paraId="06A1456D" w14:textId="77777777" w:rsidR="004C0E8A" w:rsidRPr="00F304FE" w:rsidRDefault="004C0E8A" w:rsidP="002661E8">
      <w:pPr>
        <w:pStyle w:val="Listenabsatz"/>
        <w:jc w:val="both"/>
        <w:rPr>
          <w:rFonts w:ascii="Verdana" w:hAnsi="Verdana"/>
          <w:sz w:val="20"/>
          <w:szCs w:val="20"/>
        </w:rPr>
      </w:pPr>
    </w:p>
    <w:p w14:paraId="73F1199F" w14:textId="670D52E1" w:rsidR="00924E8B" w:rsidRPr="00F304FE" w:rsidRDefault="002661E8" w:rsidP="002661E8">
      <w:pPr>
        <w:pStyle w:val="Listenabsatz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lang w:bidi="ru-RU"/>
        </w:rPr>
        <w:t xml:space="preserve">одобряя подробные отчеты правительств государств Балтийского моря по 27-й резолюции ПКБМ и активную поддержку призывов к действиям; </w:t>
      </w:r>
    </w:p>
    <w:p w14:paraId="0370DD5B" w14:textId="77777777" w:rsidR="004C0E8A" w:rsidRPr="00F304FE" w:rsidRDefault="004C0E8A" w:rsidP="002661E8">
      <w:pPr>
        <w:pStyle w:val="Listenabsatz"/>
        <w:jc w:val="both"/>
        <w:rPr>
          <w:rFonts w:ascii="Verdana" w:hAnsi="Verdana"/>
          <w:sz w:val="20"/>
          <w:szCs w:val="20"/>
        </w:rPr>
      </w:pPr>
    </w:p>
    <w:p w14:paraId="1BE89173" w14:textId="55B4DED8" w:rsidR="004C0E8A" w:rsidRPr="00F304FE" w:rsidRDefault="002661E8" w:rsidP="002661E8">
      <w:pPr>
        <w:pStyle w:val="Listenabsatz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lang w:bidi="ru-RU"/>
        </w:rPr>
        <w:t xml:space="preserve">обсуждая Сотрудничество, Чистые океаны и Будущее трудовой жизни, а также Миграцию и Интеграцию; </w:t>
      </w:r>
    </w:p>
    <w:p w14:paraId="4420B4C1" w14:textId="77777777" w:rsidR="004C0E8A" w:rsidRPr="00F304FE" w:rsidRDefault="004C0E8A" w:rsidP="002661E8">
      <w:pPr>
        <w:jc w:val="both"/>
        <w:rPr>
          <w:rFonts w:ascii="Verdana" w:hAnsi="Verdana"/>
          <w:sz w:val="20"/>
          <w:szCs w:val="20"/>
        </w:rPr>
      </w:pPr>
    </w:p>
    <w:p w14:paraId="35C330FF" w14:textId="77777777" w:rsidR="004C0E8A" w:rsidRPr="00F304FE" w:rsidRDefault="004C0E8A" w:rsidP="002661E8">
      <w:pPr>
        <w:jc w:val="both"/>
        <w:rPr>
          <w:rFonts w:ascii="Verdana" w:hAnsi="Verdana"/>
          <w:b/>
          <w:sz w:val="20"/>
          <w:szCs w:val="20"/>
        </w:rPr>
      </w:pPr>
      <w:r w:rsidRPr="002661E8">
        <w:rPr>
          <w:rFonts w:ascii="Verdana" w:eastAsia="Verdana" w:hAnsi="Verdana" w:cs="Verdana"/>
          <w:b/>
          <w:sz w:val="20"/>
          <w:szCs w:val="20"/>
          <w:lang w:bidi="ru-RU"/>
        </w:rPr>
        <w:t xml:space="preserve">Призывают правительства государств региона Балтийского моря, СГБМ и ЕС, </w:t>
      </w:r>
    </w:p>
    <w:p w14:paraId="1C3B7B29" w14:textId="77777777" w:rsidR="004C0E8A" w:rsidRPr="00F304FE" w:rsidRDefault="004C0E8A" w:rsidP="002661E8">
      <w:pPr>
        <w:jc w:val="both"/>
        <w:rPr>
          <w:rFonts w:ascii="Verdana" w:hAnsi="Verdana"/>
          <w:b/>
          <w:sz w:val="20"/>
          <w:szCs w:val="20"/>
        </w:rPr>
      </w:pPr>
      <w:r w:rsidRPr="002661E8">
        <w:rPr>
          <w:rFonts w:ascii="Verdana" w:eastAsia="Verdana" w:hAnsi="Verdana" w:cs="Verdana"/>
          <w:b/>
          <w:sz w:val="20"/>
          <w:szCs w:val="20"/>
          <w:lang w:bidi="ru-RU"/>
        </w:rPr>
        <w:t xml:space="preserve">В отношении Сотрудничества в регионе, </w:t>
      </w:r>
    </w:p>
    <w:p w14:paraId="30F0832D" w14:textId="77777777" w:rsidR="004C0E8A" w:rsidRPr="00F304FE" w:rsidRDefault="004C0E8A" w:rsidP="002661E8">
      <w:pPr>
        <w:jc w:val="both"/>
        <w:rPr>
          <w:rFonts w:ascii="Verdana" w:hAnsi="Verdana"/>
          <w:b/>
          <w:sz w:val="20"/>
          <w:szCs w:val="20"/>
        </w:rPr>
      </w:pPr>
    </w:p>
    <w:p w14:paraId="15E5206E" w14:textId="77777777" w:rsidR="004C0E8A" w:rsidRPr="00F304FE" w:rsidRDefault="004C0E8A" w:rsidP="002661E8">
      <w:pPr>
        <w:pStyle w:val="Listenabsatz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2661E8">
        <w:rPr>
          <w:rFonts w:ascii="Verdana" w:eastAsia="Verdana" w:hAnsi="Verdana" w:cs="Verdana"/>
          <w:sz w:val="20"/>
          <w:szCs w:val="20"/>
          <w:lang w:bidi="ru-RU"/>
        </w:rPr>
        <w:t xml:space="preserve">укреплять доверие между всеми государствами-членами Совета государств Балтийского моря (СГБМ) путем принятия дополнительных конкретных усилий и мер; </w:t>
      </w:r>
    </w:p>
    <w:p w14:paraId="1219CF97" w14:textId="77777777" w:rsidR="004C0E8A" w:rsidRPr="00F304FE" w:rsidRDefault="004C0E8A" w:rsidP="002661E8">
      <w:pPr>
        <w:pStyle w:val="Listenabsatz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2661E8">
        <w:rPr>
          <w:rFonts w:ascii="Verdana" w:eastAsia="Verdana" w:hAnsi="Verdana" w:cs="Verdana"/>
          <w:sz w:val="20"/>
          <w:szCs w:val="20"/>
          <w:lang w:bidi="ru-RU"/>
        </w:rPr>
        <w:t xml:space="preserve">активизировать раннее вовлечение следующего поколения в процессы выработки политики и принятия решений и более полно соблюдать интересы следующего поколения при выработке политики и принятии решений путем реализации правительствами конкретных мер по укреплению основ доверия и безопасности в регионе Балтийского моря в качестве элемента внешней политики; </w:t>
      </w:r>
    </w:p>
    <w:p w14:paraId="033D8D1B" w14:textId="77777777" w:rsidR="00A21B36" w:rsidRPr="00F304FE" w:rsidRDefault="00A21B36" w:rsidP="002661E8">
      <w:pPr>
        <w:pStyle w:val="Listenabsatz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2661E8">
        <w:rPr>
          <w:rFonts w:ascii="Verdana" w:eastAsia="Verdana" w:hAnsi="Verdana" w:cs="Verdana"/>
          <w:sz w:val="20"/>
          <w:szCs w:val="20"/>
          <w:lang w:bidi="ru-RU"/>
        </w:rPr>
        <w:t xml:space="preserve">продолжать сотрудничество в рамках Северного измерения, программ трансграничного сотрудничества между государствами-членами ЕС и Россией, а также программы Интеррег региона Балтийского моря и активно участвовать в разработке новых поколений этих программ на будущее, </w:t>
      </w:r>
    </w:p>
    <w:p w14:paraId="6B5AEF97" w14:textId="77777777" w:rsidR="00A21B36" w:rsidRPr="00F304FE" w:rsidRDefault="00A21B36" w:rsidP="002661E8">
      <w:pPr>
        <w:pStyle w:val="Listenabsatz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2661E8">
        <w:rPr>
          <w:rFonts w:ascii="Verdana" w:eastAsia="Verdana" w:hAnsi="Verdana" w:cs="Verdana"/>
          <w:sz w:val="20"/>
          <w:szCs w:val="20"/>
          <w:lang w:bidi="ru-RU"/>
        </w:rPr>
        <w:t xml:space="preserve">завершить текущий процесс реформы СГБМ и уделить больше внимания взаимодействию между форматами сотрудничества в регионе Балтийского моря, и </w:t>
      </w:r>
    </w:p>
    <w:p w14:paraId="1AA66933" w14:textId="77777777" w:rsidR="00A21B36" w:rsidRPr="00F304FE" w:rsidRDefault="00A21B36" w:rsidP="002661E8">
      <w:pPr>
        <w:pStyle w:val="Listenabsatz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2661E8">
        <w:rPr>
          <w:rFonts w:ascii="Verdana" w:eastAsia="Verdana" w:hAnsi="Verdana" w:cs="Verdana"/>
          <w:sz w:val="20"/>
          <w:szCs w:val="20"/>
          <w:lang w:bidi="ru-RU"/>
        </w:rPr>
        <w:t>изучить возможности для налаживания плодотворного профессионального сотрудничества на основе международного права - на примере сотрудничества, которое очень успешно осуществлялось в области экологической политики на протяжении десятилетий через такие учреждения, как Хельсинкская комиссия - аналогичным образом и в других областях политики,</w:t>
      </w:r>
    </w:p>
    <w:p w14:paraId="7D1E7EF3" w14:textId="77777777" w:rsidR="00A21B36" w:rsidRPr="00F304FE" w:rsidRDefault="00A21B36" w:rsidP="002661E8">
      <w:pPr>
        <w:pStyle w:val="Listenabsatz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2661E8">
        <w:rPr>
          <w:rFonts w:ascii="Verdana" w:eastAsia="Verdana" w:hAnsi="Verdana" w:cs="Verdana"/>
          <w:sz w:val="20"/>
          <w:szCs w:val="20"/>
          <w:lang w:bidi="ru-RU"/>
        </w:rPr>
        <w:t xml:space="preserve">продолжать усиливать меры по борьбе с терроризмом и насильственным экстремизмом в соответствии с обязательствами в области прав человека и верховенством права, признавая, что эффективная борьба с терроризмом и насильственным экстремизмом является важной опорой для сохранения демократии, при этом противодействие распространению дезинформации является одним из ключевых элементов. Парламенты играют ключевую роль в данном контексте, а также в обеспечении информированности о всех мерах, принимаемых для борьбы с терроризмом на международном уровне; </w:t>
      </w:r>
    </w:p>
    <w:p w14:paraId="15F91DAD" w14:textId="77777777" w:rsidR="00A21B36" w:rsidRPr="00F304FE" w:rsidRDefault="00A21B36" w:rsidP="002661E8">
      <w:pPr>
        <w:pStyle w:val="Listenabsatz"/>
        <w:jc w:val="both"/>
        <w:rPr>
          <w:rFonts w:ascii="Verdana" w:hAnsi="Verdana"/>
          <w:sz w:val="20"/>
          <w:szCs w:val="20"/>
        </w:rPr>
      </w:pPr>
    </w:p>
    <w:p w14:paraId="10F430D2" w14:textId="77777777" w:rsidR="00A21B36" w:rsidRPr="00F304FE" w:rsidRDefault="00A21B36" w:rsidP="002661E8">
      <w:pPr>
        <w:pStyle w:val="Listenabsatz"/>
        <w:jc w:val="both"/>
        <w:rPr>
          <w:rFonts w:ascii="Verdana" w:hAnsi="Verdana"/>
          <w:sz w:val="20"/>
          <w:szCs w:val="20"/>
        </w:rPr>
      </w:pPr>
    </w:p>
    <w:p w14:paraId="030199E5" w14:textId="77777777" w:rsidR="00A21B36" w:rsidRPr="00F304FE" w:rsidRDefault="00A21B36" w:rsidP="002661E8">
      <w:pPr>
        <w:jc w:val="both"/>
        <w:rPr>
          <w:rFonts w:ascii="Verdana" w:hAnsi="Verdana"/>
          <w:b/>
          <w:sz w:val="20"/>
          <w:szCs w:val="20"/>
        </w:rPr>
      </w:pPr>
      <w:r w:rsidRPr="002661E8">
        <w:rPr>
          <w:rFonts w:ascii="Verdana" w:eastAsia="Verdana" w:hAnsi="Verdana" w:cs="Verdana"/>
          <w:b/>
          <w:sz w:val="20"/>
          <w:szCs w:val="20"/>
          <w:lang w:bidi="ru-RU"/>
        </w:rPr>
        <w:t xml:space="preserve">В отношении Будущего трудовой жизни, </w:t>
      </w:r>
    </w:p>
    <w:p w14:paraId="6F79A31B" w14:textId="77777777" w:rsidR="004C0E8A" w:rsidRPr="00F304FE" w:rsidRDefault="004C0E8A" w:rsidP="002661E8">
      <w:pPr>
        <w:jc w:val="both"/>
        <w:rPr>
          <w:rFonts w:ascii="Verdana" w:hAnsi="Verdana"/>
          <w:sz w:val="20"/>
          <w:szCs w:val="20"/>
        </w:rPr>
      </w:pPr>
    </w:p>
    <w:p w14:paraId="28733681" w14:textId="77777777" w:rsidR="00A21B36" w:rsidRPr="00F304FE" w:rsidRDefault="00A21B36" w:rsidP="002661E8">
      <w:pPr>
        <w:pStyle w:val="Listenabsatz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2661E8">
        <w:rPr>
          <w:rFonts w:ascii="Verdana" w:eastAsia="Verdana" w:hAnsi="Verdana" w:cs="Verdana"/>
          <w:sz w:val="20"/>
          <w:szCs w:val="20"/>
          <w:lang w:bidi="ru-RU"/>
        </w:rPr>
        <w:t xml:space="preserve">осуществлять обмен идеями на уровне министров как можно раньше, используя текущие рекомендации социальных партнеров и стратегические подходы к решению значительных проблем, связанных со старением населения, и, таким образом, давлением на пенсионные системы, новыми требованиями рынка труда к навыкам и квалификации, а также цифровизацией и дальнейшим технологическим развитием, необходимостью лучшего взаимодействия между системами образования, а также требованиями рынков труда и повышением мобильности рабочей силы в отношении их влияния на экономический рост, например, в странах, где высококвалифицированные работники покидают страну из-за лучших возможностей за границей (утечка мозгов), социальную сплоченность (между социальными группами) и социальную устойчивость (между поколениями); </w:t>
      </w:r>
    </w:p>
    <w:p w14:paraId="66FEA86F" w14:textId="384B18FB" w:rsidR="00E002FA" w:rsidRPr="00F304FE" w:rsidRDefault="00E002FA" w:rsidP="002661E8">
      <w:pPr>
        <w:pStyle w:val="Listenabsatz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2661E8">
        <w:rPr>
          <w:rFonts w:ascii="Verdana" w:eastAsia="Verdana" w:hAnsi="Verdana" w:cs="Verdana"/>
          <w:sz w:val="20"/>
          <w:szCs w:val="20"/>
          <w:lang w:bidi="ru-RU"/>
        </w:rPr>
        <w:t xml:space="preserve">использовать ранний обмен текущими рекомендациями и стратегическими подходами к решению этих проблем в отдельных государствах региона Балтийского моря, разработку общих интерфейсов, а также визуализацию существующих различий в индивидуальных подходах в качестве решающего вклада в совместное дальнейшее развитие всего региона; </w:t>
      </w:r>
    </w:p>
    <w:p w14:paraId="5290A5A8" w14:textId="77777777" w:rsidR="00E002FA" w:rsidRPr="00F304FE" w:rsidRDefault="00E002FA" w:rsidP="002661E8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Verdana" w:eastAsia="Calibri" w:hAnsi="Verdana" w:cs="Verdana"/>
          <w:bCs/>
          <w:sz w:val="20"/>
          <w:szCs w:val="20"/>
        </w:rPr>
      </w:pPr>
      <w:r w:rsidRPr="002661E8">
        <w:rPr>
          <w:rFonts w:ascii="Verdana" w:eastAsia="Calibri" w:hAnsi="Verdana" w:cs="Verdana"/>
          <w:sz w:val="20"/>
          <w:szCs w:val="20"/>
          <w:lang w:bidi="ru-RU"/>
        </w:rPr>
        <w:t>учитывать долгосрочные прогнозы рынка труда, включая сценарии цифровизации сферы труда, ее развития в разрезе квалификаций, профессий, секторов и регионов, и обмениваться результатами непрерывных и долгосрочных исследований по развитию занятости и рынка труда в государствах региона Балтийского моря. В этой связи необходимо изыскивать лучшие возможности для реализации мер, которые направлены на решение проблем, возникающих на рынке труда в результате демографических, технических и квалификационных структурных изменений с учетом развития ситуации во всем регионе Балтийского моря;</w:t>
      </w:r>
    </w:p>
    <w:p w14:paraId="122FF720" w14:textId="77777777" w:rsidR="00E002FA" w:rsidRPr="00F304FE" w:rsidRDefault="00E002FA" w:rsidP="002661E8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Verdana" w:hAnsi="Verdana" w:cs="Verdana"/>
          <w:bCs/>
          <w:sz w:val="20"/>
          <w:szCs w:val="20"/>
        </w:rPr>
      </w:pPr>
      <w:r w:rsidRPr="002661E8">
        <w:rPr>
          <w:rFonts w:ascii="Verdana" w:eastAsia="Verdana" w:hAnsi="Verdana" w:cs="Verdana"/>
          <w:sz w:val="20"/>
          <w:szCs w:val="20"/>
          <w:lang w:bidi="ru-RU"/>
        </w:rPr>
        <w:t>совместно обсудить, в перспективном и опережающем порядке, крупномасштабные изменения в сфере труда, которых можно ожидать в связи с дальнейшей цифровизацией, и изучить способы противодействия с использованием сопоставимых процедур;</w:t>
      </w:r>
    </w:p>
    <w:p w14:paraId="552838FA" w14:textId="77777777" w:rsidR="00E002FA" w:rsidRPr="00F304FE" w:rsidRDefault="00E002FA" w:rsidP="002661E8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Verdana" w:eastAsia="Calibri" w:hAnsi="Verdana" w:cs="Verdana"/>
          <w:bCs/>
          <w:sz w:val="20"/>
          <w:szCs w:val="20"/>
        </w:rPr>
      </w:pPr>
      <w:r w:rsidRPr="002661E8">
        <w:rPr>
          <w:rFonts w:ascii="Verdana" w:eastAsia="Calibri" w:hAnsi="Verdana" w:cs="Verdana"/>
          <w:sz w:val="20"/>
          <w:szCs w:val="20"/>
          <w:lang w:bidi="ru-RU"/>
        </w:rPr>
        <w:t>согласовать справедливые базовые условия в отношении разработки условий труда в цифровой экономике и продолжать оказывать содействие трансграничной предпринимательской деятельности;</w:t>
      </w:r>
    </w:p>
    <w:p w14:paraId="031EAB10" w14:textId="77777777" w:rsidR="00E002FA" w:rsidRPr="00F304FE" w:rsidRDefault="00E002FA" w:rsidP="002661E8">
      <w:pPr>
        <w:pStyle w:val="Listenabsatz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2661E8">
        <w:rPr>
          <w:rFonts w:ascii="Verdana" w:eastAsia="Calibri" w:hAnsi="Verdana" w:cs="Verdana"/>
          <w:sz w:val="20"/>
          <w:szCs w:val="20"/>
          <w:lang w:bidi="ru-RU"/>
        </w:rPr>
        <w:t>улучшить гендерный паритет и обеспечить более активное участие женщин в рабочей силе, создавая условия для совмещения карьеры и семейной жизни, а также равные возможности трудоустройства и, таким образом, сокращая разрыв в оплате труда между мужчинами и женщинами;</w:t>
      </w:r>
    </w:p>
    <w:p w14:paraId="4A9528ED" w14:textId="77777777" w:rsidR="00E002FA" w:rsidRPr="00F304FE" w:rsidRDefault="00E002FA" w:rsidP="002661E8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661E8">
        <w:rPr>
          <w:rFonts w:ascii="Verdana" w:eastAsia="Verdana" w:hAnsi="Verdana" w:cs="Verdana"/>
          <w:sz w:val="20"/>
          <w:szCs w:val="20"/>
          <w:lang w:bidi="ru-RU"/>
        </w:rPr>
        <w:t>активизировать усилия по оказанию поддержки молодежи, которая в настоящее время не имеет работы, образования или профессиональной подготовки, в целях ее возврата к образованию или на рынок труда - на основе передового опыта и результатов межотраслевого, транснационального сотрудничества;</w:t>
      </w:r>
    </w:p>
    <w:p w14:paraId="574FFB11" w14:textId="02DC9821" w:rsidR="00E002FA" w:rsidRPr="00F304FE" w:rsidRDefault="00E002FA" w:rsidP="002661E8">
      <w:pPr>
        <w:pStyle w:val="Listenabsatz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3C4D36C" w14:textId="77777777" w:rsidR="002661E8" w:rsidRPr="00F304FE" w:rsidRDefault="002661E8" w:rsidP="002661E8">
      <w:pPr>
        <w:pStyle w:val="Listenabsatz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25FAC65" w14:textId="77777777" w:rsidR="00E002FA" w:rsidRPr="00F304FE" w:rsidRDefault="00E002FA" w:rsidP="002661E8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2661E8">
        <w:rPr>
          <w:rFonts w:ascii="Verdana" w:eastAsia="Verdana" w:hAnsi="Verdana" w:cs="Verdana"/>
          <w:b/>
          <w:sz w:val="20"/>
          <w:szCs w:val="20"/>
          <w:lang w:bidi="ru-RU"/>
        </w:rPr>
        <w:t xml:space="preserve">В отношении Охраны океанов – </w:t>
      </w:r>
    </w:p>
    <w:p w14:paraId="1B6563C7" w14:textId="77777777" w:rsidR="00E002FA" w:rsidRPr="00F304FE" w:rsidRDefault="00E002FA" w:rsidP="002661E8">
      <w:pPr>
        <w:pStyle w:val="Listenabsatz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1BB18EE7" w14:textId="77777777" w:rsidR="00E002FA" w:rsidRPr="00F304FE" w:rsidRDefault="00E002FA" w:rsidP="002661E8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2661E8">
        <w:rPr>
          <w:rFonts w:ascii="Verdana" w:eastAsia="Verdana" w:hAnsi="Verdana" w:cs="Verdana"/>
          <w:b/>
          <w:sz w:val="20"/>
          <w:szCs w:val="20"/>
          <w:lang w:bidi="ru-RU"/>
        </w:rPr>
        <w:t xml:space="preserve">Обеспечивая достижение Целей ООН в области устойчивого развития до 2030 года </w:t>
      </w:r>
    </w:p>
    <w:p w14:paraId="05C403F2" w14:textId="77777777" w:rsidR="00E002FA" w:rsidRPr="00F304FE" w:rsidRDefault="00E002FA" w:rsidP="002661E8">
      <w:pPr>
        <w:pStyle w:val="Listenabsatz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4BD80E17" w14:textId="45D1F91E" w:rsidR="00E002FA" w:rsidRPr="00F304FE" w:rsidRDefault="00E002FA" w:rsidP="002661E8">
      <w:pPr>
        <w:pStyle w:val="Listenabsatz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2661E8">
        <w:rPr>
          <w:rFonts w:ascii="Verdana" w:eastAsia="Verdana" w:hAnsi="Verdana" w:cs="Verdana"/>
          <w:sz w:val="20"/>
          <w:szCs w:val="20"/>
          <w:lang w:bidi="ru-RU"/>
        </w:rPr>
        <w:t>последовательно реализовывать Базельскую конвенцию о контроле за трансграничной перевозкой опасных отходов и их удалением в новой редакции, подписанную 187 государствами</w:t>
      </w:r>
      <w:r w:rsidR="00C74F6C">
        <w:rPr>
          <w:rStyle w:val="Fett"/>
          <w:rFonts w:ascii="Verdana" w:eastAsia="Verdana" w:hAnsi="Verdana" w:cs="Verdana"/>
          <w:b w:val="0"/>
          <w:sz w:val="20"/>
          <w:szCs w:val="20"/>
          <w:lang w:bidi="ru-RU"/>
        </w:rPr>
        <w:t xml:space="preserve">, с учетом внесенных в нее поправок </w:t>
      </w:r>
      <w:r w:rsidRPr="002661E8">
        <w:rPr>
          <w:rFonts w:ascii="Verdana" w:eastAsia="Verdana" w:hAnsi="Verdana" w:cs="Verdana"/>
          <w:sz w:val="20"/>
          <w:szCs w:val="20"/>
          <w:lang w:bidi="ru-RU"/>
        </w:rPr>
        <w:t>и решений по пластиковым отходам, принятым 10 мая 2019 года Четырнадцатым совещанием Конференции Сторон Базельской конвенции о контроле за трансграничной перевозкой опасных отходов и их удалением, в качестве важного шага в борьбе с загрязнением морей пластиковыми отходами в соответствии с резолюциями ПКБМ;</w:t>
      </w:r>
    </w:p>
    <w:p w14:paraId="3AA16485" w14:textId="77777777" w:rsidR="00B62573" w:rsidRPr="00F304FE" w:rsidRDefault="00B62573" w:rsidP="002661E8">
      <w:pPr>
        <w:pStyle w:val="Listenabsatz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2661E8">
        <w:rPr>
          <w:rFonts w:ascii="Verdana" w:eastAsia="Verdana" w:hAnsi="Verdana" w:cs="Verdana"/>
          <w:sz w:val="20"/>
          <w:szCs w:val="20"/>
          <w:lang w:bidi="ru-RU"/>
        </w:rPr>
        <w:t>поддерживать дальнейшую разработку юридически обязательного глобального механизма управления пластиковыми отходами в целях последовательной борьбы с загрязнением морей пластиковыми отходами в соответствии с резолюциями ПКБМ;</w:t>
      </w:r>
    </w:p>
    <w:p w14:paraId="5C9A05D3" w14:textId="77777777" w:rsidR="00B62573" w:rsidRPr="00F304FE" w:rsidRDefault="00B62573" w:rsidP="002661E8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Verdana" w:eastAsia="Calibri" w:hAnsi="Verdana" w:cs="Verdana"/>
          <w:bCs/>
          <w:sz w:val="20"/>
          <w:szCs w:val="20"/>
        </w:rPr>
      </w:pPr>
      <w:r w:rsidRPr="002661E8">
        <w:rPr>
          <w:rFonts w:ascii="Verdana" w:eastAsia="Verdana" w:hAnsi="Verdana" w:cs="Verdana"/>
          <w:sz w:val="20"/>
          <w:szCs w:val="20"/>
          <w:lang w:bidi="ru-RU"/>
        </w:rPr>
        <w:t>содействовать, путем принятия соответствующих мер, ускорению цифровизации движения судов и экологического судоходства для скорейшего достижения целей 2030 года;</w:t>
      </w:r>
    </w:p>
    <w:p w14:paraId="1BDE62BF" w14:textId="77777777" w:rsidR="00B62573" w:rsidRPr="00F304FE" w:rsidRDefault="00B62573" w:rsidP="002661E8">
      <w:pPr>
        <w:pStyle w:val="Listenabsatz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2661E8">
        <w:rPr>
          <w:rFonts w:ascii="Verdana" w:eastAsia="Verdana" w:hAnsi="Verdana" w:cs="Verdana"/>
          <w:sz w:val="20"/>
          <w:szCs w:val="20"/>
          <w:lang w:bidi="ru-RU"/>
        </w:rPr>
        <w:t xml:space="preserve">поддерживать партнерство по пластиковым отходам, созданное Четырнадцатым совещанием Конференции Сторон Базельской конвенции, для мобилизации ресурсов, интересов и опыта бизнеса, правительств, научных кругов и гражданского общества в целях оказания содействия в реализации новых мер по сокращению образования этих отходов, включая микрочастицы пластмасс, предоставляя широкий спектр практической поддержки, включая инструменты, стандарты передовой практики, техническую и финансовую помощь;  </w:t>
      </w:r>
    </w:p>
    <w:p w14:paraId="3D7EECDD" w14:textId="77777777" w:rsidR="00B62573" w:rsidRPr="00F304FE" w:rsidRDefault="00B62573" w:rsidP="002661E8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Verdana" w:hAnsi="Verdana" w:cs="Verdana"/>
          <w:bCs/>
          <w:iCs/>
          <w:sz w:val="20"/>
          <w:szCs w:val="20"/>
        </w:rPr>
      </w:pPr>
      <w:r w:rsidRPr="002661E8">
        <w:rPr>
          <w:rFonts w:ascii="Verdana" w:eastAsia="Verdana" w:hAnsi="Verdana" w:cs="Verdana"/>
          <w:sz w:val="20"/>
          <w:szCs w:val="20"/>
          <w:lang w:bidi="ru-RU"/>
        </w:rPr>
        <w:t>организовать согласованные действия для надлежащего регулирования на глобальном уровне в целях расширения использования е-навигации и создания условий для автономного судоходства;</w:t>
      </w:r>
    </w:p>
    <w:p w14:paraId="4951ABF5" w14:textId="77777777" w:rsidR="00B62573" w:rsidRPr="002661E8" w:rsidRDefault="00B62573" w:rsidP="002661E8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  <w:r w:rsidRPr="002661E8">
        <w:rPr>
          <w:rFonts w:ascii="Verdana" w:eastAsia="Verdana" w:hAnsi="Verdana" w:cs="Verdana"/>
          <w:sz w:val="20"/>
          <w:szCs w:val="20"/>
          <w:lang w:bidi="ru-RU"/>
        </w:rPr>
        <w:t>использовать текущие изменения и процессы в отношении экологически и биологически значимых районов и морское пространственное планирование систематически в качестве достаточного и необходимого инструмента для достижения Цели 14 по защите и восстановлению экосистем из списка Целей ООН в области устойчивого развития до 2030 года и активизировать все продолжающиеся усилия по достижению Цели 14;</w:t>
      </w:r>
    </w:p>
    <w:p w14:paraId="5D3EAF64" w14:textId="77777777" w:rsidR="00B62573" w:rsidRPr="00F304FE" w:rsidRDefault="00B62573" w:rsidP="002661E8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Verdana" w:eastAsia="Calibri" w:hAnsi="Verdana" w:cs="Verdana"/>
          <w:bCs/>
          <w:sz w:val="20"/>
          <w:szCs w:val="20"/>
        </w:rPr>
      </w:pPr>
      <w:r w:rsidRPr="002661E8">
        <w:rPr>
          <w:rFonts w:ascii="Verdana" w:eastAsia="Calibri" w:hAnsi="Verdana" w:cs="Verdana"/>
          <w:sz w:val="20"/>
          <w:szCs w:val="20"/>
          <w:lang w:bidi="ru-RU"/>
        </w:rPr>
        <w:t>совместно разработать далеко идущие меры и предложения для Конференции ООН по океанам 2020 года и приложить усилия по их совместному развитию на уровне ООН, а также добиться более решительных действий на международном уровне для обеспечения политической поддержки этих мер в области улучшения состояния океанов и их восстановления;</w:t>
      </w:r>
    </w:p>
    <w:p w14:paraId="48DB83EB" w14:textId="77777777" w:rsidR="00B62573" w:rsidRPr="00F304FE" w:rsidRDefault="00B62573" w:rsidP="002661E8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Verdana" w:eastAsia="Calibri" w:hAnsi="Verdana" w:cs="Verdana"/>
          <w:bCs/>
          <w:sz w:val="20"/>
          <w:szCs w:val="20"/>
        </w:rPr>
      </w:pPr>
      <w:r w:rsidRPr="002661E8">
        <w:rPr>
          <w:rFonts w:ascii="Verdana" w:eastAsia="Calibri" w:hAnsi="Verdana" w:cs="Verdana"/>
          <w:sz w:val="20"/>
          <w:szCs w:val="20"/>
          <w:lang w:bidi="ru-RU"/>
        </w:rPr>
        <w:t xml:space="preserve">поддерживать углубленные морские исследования и инновации в области сохранения и рационального использования морского биологического разнообразия; </w:t>
      </w:r>
    </w:p>
    <w:p w14:paraId="28609A20" w14:textId="77777777" w:rsidR="00B62573" w:rsidRPr="00F304FE" w:rsidRDefault="00B62573" w:rsidP="002661E8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Verdana" w:eastAsia="Calibri" w:hAnsi="Verdana" w:cs="Verdana"/>
          <w:bCs/>
          <w:sz w:val="20"/>
          <w:szCs w:val="20"/>
        </w:rPr>
      </w:pPr>
      <w:r w:rsidRPr="002661E8">
        <w:rPr>
          <w:rFonts w:ascii="Verdana" w:eastAsia="Calibri" w:hAnsi="Verdana" w:cs="Verdana"/>
          <w:sz w:val="20"/>
          <w:szCs w:val="20"/>
          <w:lang w:bidi="ru-RU"/>
        </w:rPr>
        <w:t>обеспечить соблюдение положений Конвенции ООН об оценке воздействия на окружающую среду в трансграничном контексте (1991 года) (Конвенция Эспо) при реализации проектов с трансграничным воздействием в регионе Балтийского моря;</w:t>
      </w:r>
    </w:p>
    <w:p w14:paraId="1D05899B" w14:textId="77777777" w:rsidR="00B62573" w:rsidRPr="00816680" w:rsidRDefault="00B62573" w:rsidP="002661E8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Verdana" w:eastAsia="Calibri" w:hAnsi="Verdana" w:cs="Verdana"/>
          <w:bCs/>
          <w:sz w:val="20"/>
          <w:szCs w:val="20"/>
          <w:lang w:val="en-GB"/>
        </w:rPr>
      </w:pPr>
      <w:r w:rsidRPr="00816680">
        <w:rPr>
          <w:rFonts w:ascii="Verdana" w:eastAsia="Calibri" w:hAnsi="Verdana" w:cs="Verdana"/>
          <w:sz w:val="20"/>
          <w:szCs w:val="20"/>
          <w:lang w:bidi="ru-RU"/>
        </w:rPr>
        <w:t>обеспечить соответствие крупномасштабных проектов, оказывающих влияние на береговые линии и прибрежные районы и серьезное воздействие на экосистемы в регионе Балтийского моря, обязательствам, которые предусмотрены соответствующими международными договорами и конвенциями, включая Конвенцию Эспо и Хельсинкскую конвенцию;</w:t>
      </w:r>
    </w:p>
    <w:p w14:paraId="787CB9D3" w14:textId="6E6583EB" w:rsidR="00B62573" w:rsidRPr="00F304FE" w:rsidRDefault="00B62573" w:rsidP="002661E8">
      <w:pPr>
        <w:pStyle w:val="Listenabsatz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2661E8">
        <w:rPr>
          <w:rFonts w:ascii="Verdana" w:eastAsia="Verdana" w:hAnsi="Verdana" w:cs="Verdana"/>
          <w:sz w:val="20"/>
          <w:szCs w:val="20"/>
          <w:lang w:bidi="ru-RU"/>
        </w:rPr>
        <w:t>в отношении обнаружения неразорвавшихся боеприпасов и захороненных/сохранившихся боеприпасов в Балтийском море, и с учетом текущей деятельности Хельсинкской комиссии, работать совместно и разработать трансграничную устойчивую стратегию по обращению, призывать СГБМ изучить возможность создания инструмента финансирования, включая обнаружение, обеспечение контроля/охраны, подъем или уничтожение боеприпасов, поскольку неразорвавшиеся боеприпасы в Балтийское море могут представлять опасность для людей и окружающей среды, особенно на судоходных маршрутах и в прибрежных водах, используемых туристами; на основе результатов обнаружения, комиссия экспертов должна ежегодно оценивать и анализировать риски, связанные с захороненными/сохранившимися боеприпасами, и представлять рекомендации по дальнейшим действиям;</w:t>
      </w:r>
    </w:p>
    <w:p w14:paraId="63F1CE88" w14:textId="77777777" w:rsidR="000C0A79" w:rsidRPr="00F304FE" w:rsidRDefault="000C0A79" w:rsidP="002661E8">
      <w:pPr>
        <w:jc w:val="both"/>
        <w:rPr>
          <w:rFonts w:ascii="Verdana" w:hAnsi="Verdana"/>
          <w:b/>
          <w:sz w:val="20"/>
          <w:szCs w:val="20"/>
        </w:rPr>
      </w:pPr>
    </w:p>
    <w:p w14:paraId="4E8D3369" w14:textId="77777777" w:rsidR="000C0A79" w:rsidRPr="00F304FE" w:rsidRDefault="000C0A79" w:rsidP="002661E8">
      <w:pPr>
        <w:jc w:val="both"/>
        <w:rPr>
          <w:rFonts w:ascii="Verdana" w:hAnsi="Verdana"/>
          <w:b/>
          <w:sz w:val="20"/>
          <w:szCs w:val="20"/>
        </w:rPr>
      </w:pPr>
      <w:r w:rsidRPr="002661E8">
        <w:rPr>
          <w:rFonts w:ascii="Verdana" w:eastAsia="Verdana" w:hAnsi="Verdana" w:cs="Verdana"/>
          <w:b/>
          <w:sz w:val="20"/>
          <w:szCs w:val="20"/>
          <w:lang w:bidi="ru-RU"/>
        </w:rPr>
        <w:t xml:space="preserve">В отношении Миграции и Интеграции, </w:t>
      </w:r>
    </w:p>
    <w:p w14:paraId="2EC0387C" w14:textId="77777777" w:rsidR="000C0A79" w:rsidRPr="00F304FE" w:rsidRDefault="000C0A79" w:rsidP="002661E8">
      <w:pPr>
        <w:pStyle w:val="Listenabsatz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2661E8">
        <w:rPr>
          <w:rFonts w:ascii="Verdana" w:eastAsia="Verdana" w:hAnsi="Verdana" w:cs="Verdana"/>
          <w:sz w:val="20"/>
          <w:szCs w:val="20"/>
          <w:lang w:bidi="ru-RU"/>
        </w:rPr>
        <w:t xml:space="preserve">изучить возможность заключения регионального соглашения в регионе Балтийского моря о будущем управлении миграцией; </w:t>
      </w:r>
    </w:p>
    <w:p w14:paraId="1F43A64B" w14:textId="77777777" w:rsidR="000C0A79" w:rsidRPr="00F304FE" w:rsidRDefault="000C0A79" w:rsidP="002661E8">
      <w:pPr>
        <w:pStyle w:val="Listenabsatz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2661E8">
        <w:rPr>
          <w:rFonts w:ascii="Verdana" w:eastAsia="Verdana" w:hAnsi="Verdana" w:cs="Verdana"/>
          <w:sz w:val="20"/>
          <w:szCs w:val="20"/>
          <w:lang w:bidi="ru-RU"/>
        </w:rPr>
        <w:t xml:space="preserve">рассмотреть - в качестве примеров передовой практики - внедрение учреждений, действующих по принципу «единого окна», в которых мигранты могут получить все необходимые услуги в одном месте, а также возможность составления личных планов интеграции; </w:t>
      </w:r>
    </w:p>
    <w:p w14:paraId="014F5C66" w14:textId="77777777" w:rsidR="000C0A79" w:rsidRPr="00F304FE" w:rsidRDefault="000C0A79" w:rsidP="002661E8">
      <w:pPr>
        <w:pStyle w:val="Listenabsatz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2661E8">
        <w:rPr>
          <w:rFonts w:ascii="Verdana" w:eastAsia="Verdana" w:hAnsi="Verdana" w:cs="Verdana"/>
          <w:sz w:val="20"/>
          <w:szCs w:val="20"/>
          <w:lang w:bidi="ru-RU"/>
        </w:rPr>
        <w:t xml:space="preserve">принять меры для облегчения прямых и регулярных контактов между вновь прибывшими и местными жителями, местными учреждениями, организациями гражданского общества, общинами и отдельными лицами; </w:t>
      </w:r>
    </w:p>
    <w:p w14:paraId="5C985DAA" w14:textId="77777777" w:rsidR="000C0A79" w:rsidRPr="00F304FE" w:rsidRDefault="000C0A79" w:rsidP="002661E8">
      <w:pPr>
        <w:pStyle w:val="Listenabsatz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2661E8">
        <w:rPr>
          <w:rFonts w:ascii="Verdana" w:eastAsia="Verdana" w:hAnsi="Verdana" w:cs="Verdana"/>
          <w:sz w:val="20"/>
          <w:szCs w:val="20"/>
          <w:lang w:bidi="ru-RU"/>
        </w:rPr>
        <w:t xml:space="preserve">поддерживать платформы для диалога в качестве инструментов открытой и регулярной коммуникации и координации заинтересованных сторон в целях расширения диалога в обществе; </w:t>
      </w:r>
    </w:p>
    <w:p w14:paraId="5C4E2DD5" w14:textId="77777777" w:rsidR="000C0A79" w:rsidRPr="00F304FE" w:rsidRDefault="000C0A79" w:rsidP="002661E8">
      <w:pPr>
        <w:pStyle w:val="Listenabsatz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2661E8">
        <w:rPr>
          <w:rFonts w:ascii="Verdana" w:eastAsia="Verdana" w:hAnsi="Verdana" w:cs="Verdana"/>
          <w:sz w:val="20"/>
          <w:szCs w:val="20"/>
          <w:lang w:bidi="ru-RU"/>
        </w:rPr>
        <w:t xml:space="preserve">улучшить, в рамках стратегических подходов к интеграции, готовность принимающих обществ к интеграции вновь прибывших путем расширения демократического участия в интеграции, уделяя указанным вопросам больше внимания на муниципальном уровне, представляющем собой уровень повседневного сосуществования; </w:t>
      </w:r>
    </w:p>
    <w:p w14:paraId="3E4118F9" w14:textId="77777777" w:rsidR="000C0A79" w:rsidRPr="00F304FE" w:rsidRDefault="000C0A79" w:rsidP="002661E8">
      <w:pPr>
        <w:pStyle w:val="Listenabsatz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2661E8">
        <w:rPr>
          <w:rFonts w:ascii="Verdana" w:eastAsia="Verdana" w:hAnsi="Verdana" w:cs="Verdana"/>
          <w:sz w:val="20"/>
          <w:szCs w:val="20"/>
          <w:lang w:bidi="ru-RU"/>
        </w:rPr>
        <w:t xml:space="preserve">поддерживать и поощрять управление интеграцией беженцев на муниципальном уровне с участием многих заинтересованных сторон, включая систематическое участие и многосторонний обмен мнениями между политическими институтами, деловым сектором и гражданским обществом; </w:t>
      </w:r>
    </w:p>
    <w:p w14:paraId="6267E511" w14:textId="77777777" w:rsidR="000C0A79" w:rsidRPr="00F304FE" w:rsidRDefault="000C0A79" w:rsidP="002661E8">
      <w:pPr>
        <w:pStyle w:val="Listenabsatz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2661E8">
        <w:rPr>
          <w:rFonts w:ascii="Verdana" w:eastAsia="Verdana" w:hAnsi="Verdana" w:cs="Verdana"/>
          <w:sz w:val="20"/>
          <w:szCs w:val="20"/>
          <w:lang w:bidi="ru-RU"/>
        </w:rPr>
        <w:t xml:space="preserve">изучить, в какой степени регулярный обмен примерами наилучшей практики во всем регионе Балтийского моря позволит согласовать стратегию в отношении миграции; </w:t>
      </w:r>
    </w:p>
    <w:p w14:paraId="46CBAA7F" w14:textId="77777777" w:rsidR="000C0A79" w:rsidRPr="00F304FE" w:rsidRDefault="000C0A79" w:rsidP="002661E8">
      <w:pPr>
        <w:jc w:val="both"/>
        <w:rPr>
          <w:rFonts w:ascii="Verdana" w:hAnsi="Verdana"/>
          <w:sz w:val="20"/>
          <w:szCs w:val="20"/>
        </w:rPr>
      </w:pPr>
    </w:p>
    <w:p w14:paraId="0E58A481" w14:textId="77777777" w:rsidR="000C0A79" w:rsidRPr="002661E8" w:rsidRDefault="000C0A79" w:rsidP="002661E8">
      <w:pPr>
        <w:jc w:val="both"/>
        <w:rPr>
          <w:rFonts w:ascii="Verdana" w:hAnsi="Verdana"/>
          <w:b/>
          <w:sz w:val="20"/>
          <w:szCs w:val="20"/>
          <w:lang w:val="en-GB"/>
        </w:rPr>
      </w:pPr>
      <w:r w:rsidRPr="002661E8">
        <w:rPr>
          <w:rFonts w:ascii="Verdana" w:eastAsia="Verdana" w:hAnsi="Verdana" w:cs="Verdana"/>
          <w:b/>
          <w:sz w:val="20"/>
          <w:szCs w:val="20"/>
          <w:lang w:bidi="ru-RU"/>
        </w:rPr>
        <w:t xml:space="preserve">Кроме того, Конференция постановляет </w:t>
      </w:r>
    </w:p>
    <w:p w14:paraId="47EFC366" w14:textId="285EF01C" w:rsidR="000C0A79" w:rsidRPr="00F304FE" w:rsidRDefault="000C0A79" w:rsidP="002661E8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 w:rsidRPr="002661E8">
        <w:rPr>
          <w:rFonts w:ascii="Verdana" w:eastAsia="Verdana" w:hAnsi="Verdana" w:cs="Verdana"/>
          <w:sz w:val="20"/>
          <w:szCs w:val="20"/>
          <w:lang w:bidi="ru-RU"/>
        </w:rPr>
        <w:t xml:space="preserve">с благодарностью одобрить любезное предложение парламента Литвы о проведении 29-й Парламентской конференции Балтийского моря в Вильнюсе </w:t>
      </w:r>
      <w:r w:rsidRPr="000C0A79">
        <w:rPr>
          <w:sz w:val="24"/>
          <w:szCs w:val="24"/>
          <w:lang w:bidi="ru-RU"/>
        </w:rPr>
        <w:t xml:space="preserve">22-25 августа 2020 года. </w:t>
      </w:r>
    </w:p>
    <w:sectPr w:rsidR="000C0A79" w:rsidRPr="00F304F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B142B" w14:textId="77777777" w:rsidR="00245938" w:rsidRDefault="00245938" w:rsidP="002661E8">
      <w:pPr>
        <w:spacing w:after="0" w:line="240" w:lineRule="auto"/>
      </w:pPr>
      <w:r>
        <w:separator/>
      </w:r>
    </w:p>
  </w:endnote>
  <w:endnote w:type="continuationSeparator" w:id="0">
    <w:p w14:paraId="3775E787" w14:textId="77777777" w:rsidR="00245938" w:rsidRDefault="00245938" w:rsidP="00266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8025687"/>
      <w:docPartObj>
        <w:docPartGallery w:val="Page Numbers (Bottom of Page)"/>
        <w:docPartUnique/>
      </w:docPartObj>
    </w:sdtPr>
    <w:sdtEndPr/>
    <w:sdtContent>
      <w:p w14:paraId="785DE284" w14:textId="77777777" w:rsidR="002661E8" w:rsidRDefault="002661E8">
        <w:pPr>
          <w:pStyle w:val="Fuzeile"/>
          <w:jc w:val="right"/>
        </w:pPr>
        <w:r>
          <w:rPr>
            <w:lang w:bidi="ru-RU"/>
          </w:rPr>
          <w:fldChar w:fldCharType="begin"/>
        </w:r>
        <w:r>
          <w:rPr>
            <w:lang w:bidi="ru-RU"/>
          </w:rPr>
          <w:instrText>PAGE   \* MERGEFORMAT</w:instrText>
        </w:r>
        <w:r>
          <w:rPr>
            <w:lang w:bidi="ru-RU"/>
          </w:rPr>
          <w:fldChar w:fldCharType="separate"/>
        </w:r>
        <w:r w:rsidR="009C3A29">
          <w:rPr>
            <w:noProof/>
            <w:lang w:bidi="ru-RU"/>
          </w:rPr>
          <w:t>3</w:t>
        </w:r>
        <w:r>
          <w:rPr>
            <w:lang w:bidi="ru-RU"/>
          </w:rPr>
          <w:fldChar w:fldCharType="end"/>
        </w:r>
      </w:p>
    </w:sdtContent>
  </w:sdt>
  <w:p w14:paraId="3EFAFB88" w14:textId="77777777" w:rsidR="002661E8" w:rsidRDefault="002661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66976" w14:textId="77777777" w:rsidR="00245938" w:rsidRDefault="00245938" w:rsidP="002661E8">
      <w:pPr>
        <w:spacing w:after="0" w:line="240" w:lineRule="auto"/>
      </w:pPr>
      <w:r>
        <w:separator/>
      </w:r>
    </w:p>
  </w:footnote>
  <w:footnote w:type="continuationSeparator" w:id="0">
    <w:p w14:paraId="49EC0BE8" w14:textId="77777777" w:rsidR="00245938" w:rsidRDefault="00245938" w:rsidP="00266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C4F7F"/>
    <w:multiLevelType w:val="hybridMultilevel"/>
    <w:tmpl w:val="9A90F5BC"/>
    <w:lvl w:ilvl="0" w:tplc="E08C1D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92383"/>
    <w:multiLevelType w:val="hybridMultilevel"/>
    <w:tmpl w:val="27703FE8"/>
    <w:lvl w:ilvl="0" w:tplc="33D27682">
      <w:start w:val="1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5A3612A"/>
    <w:multiLevelType w:val="hybridMultilevel"/>
    <w:tmpl w:val="7960CE8C"/>
    <w:lvl w:ilvl="0" w:tplc="0407000F">
      <w:start w:val="1"/>
      <w:numFmt w:val="decimal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73324"/>
    <w:multiLevelType w:val="hybridMultilevel"/>
    <w:tmpl w:val="138053C4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2298B"/>
    <w:multiLevelType w:val="hybridMultilevel"/>
    <w:tmpl w:val="599AF8EE"/>
    <w:lvl w:ilvl="0" w:tplc="33D27682">
      <w:start w:val="16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57150E3"/>
    <w:multiLevelType w:val="hybridMultilevel"/>
    <w:tmpl w:val="765C41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E8B"/>
    <w:rsid w:val="000B1EFC"/>
    <w:rsid w:val="000C0A79"/>
    <w:rsid w:val="0011689F"/>
    <w:rsid w:val="001950EA"/>
    <w:rsid w:val="00245938"/>
    <w:rsid w:val="0026128B"/>
    <w:rsid w:val="002661E8"/>
    <w:rsid w:val="0030098F"/>
    <w:rsid w:val="003565ED"/>
    <w:rsid w:val="0042461D"/>
    <w:rsid w:val="004C0E8A"/>
    <w:rsid w:val="00687949"/>
    <w:rsid w:val="007A64E4"/>
    <w:rsid w:val="00816680"/>
    <w:rsid w:val="00924E8B"/>
    <w:rsid w:val="009C3A29"/>
    <w:rsid w:val="009D33F5"/>
    <w:rsid w:val="00A053B2"/>
    <w:rsid w:val="00A21B36"/>
    <w:rsid w:val="00B62573"/>
    <w:rsid w:val="00B70B3E"/>
    <w:rsid w:val="00C0535B"/>
    <w:rsid w:val="00C52BC8"/>
    <w:rsid w:val="00C73068"/>
    <w:rsid w:val="00C74F6C"/>
    <w:rsid w:val="00D64824"/>
    <w:rsid w:val="00E002FA"/>
    <w:rsid w:val="00F304FE"/>
    <w:rsid w:val="00FC509C"/>
    <w:rsid w:val="00FC6EC5"/>
    <w:rsid w:val="00FF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F23A1"/>
  <w15:docId w15:val="{5EC1457D-C8BE-1348-BD53-5AA8EFB2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4E8B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E002FA"/>
    <w:rPr>
      <w:b/>
      <w:bCs/>
    </w:rPr>
  </w:style>
  <w:style w:type="table" w:styleId="Tabellenraster">
    <w:name w:val="Table Grid"/>
    <w:basedOn w:val="NormaleTabelle"/>
    <w:uiPriority w:val="59"/>
    <w:rsid w:val="00B62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66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1E8"/>
  </w:style>
  <w:style w:type="paragraph" w:styleId="Fuzeile">
    <w:name w:val="footer"/>
    <w:basedOn w:val="Standard"/>
    <w:link w:val="FuzeileZchn"/>
    <w:uiPriority w:val="99"/>
    <w:unhideWhenUsed/>
    <w:rsid w:val="00266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1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0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1688</Words>
  <Characters>10641</Characters>
  <Application>Microsoft Office Word</Application>
  <DocSecurity>0</DocSecurity>
  <Lines>88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Stortinget</Company>
  <LinksUpToDate>false</LinksUpToDate>
  <CharactersWithSpaces>12305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Herborg Fiskaa Alvsåker</dc:creator>
  <cp:lastModifiedBy>Bahr, Bodo</cp:lastModifiedBy>
  <cp:revision>2</cp:revision>
  <dcterms:created xsi:type="dcterms:W3CDTF">2019-09-12T18:41:00Z</dcterms:created>
  <dcterms:modified xsi:type="dcterms:W3CDTF">2019-09-12T18:41:00Z</dcterms:modified>
</cp:coreProperties>
</file>