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89" w:rsidRDefault="00584489" w:rsidP="00584489">
      <w:pPr>
        <w:jc w:val="center"/>
        <w:rPr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363133D4" wp14:editId="7FC00053">
            <wp:simplePos x="0" y="0"/>
            <wp:positionH relativeFrom="column">
              <wp:posOffset>1022532</wp:posOffset>
            </wp:positionH>
            <wp:positionV relativeFrom="paragraph">
              <wp:posOffset>471</wp:posOffset>
            </wp:positionV>
            <wp:extent cx="2750400" cy="666000"/>
            <wp:effectExtent l="0" t="0" r="0" b="0"/>
            <wp:wrapThrough wrapText="bothSides">
              <wp:wrapPolygon edited="0">
                <wp:start x="399" y="0"/>
                <wp:lineTo x="199" y="18137"/>
                <wp:lineTo x="3192" y="20611"/>
                <wp:lineTo x="6384" y="20611"/>
                <wp:lineTo x="21346" y="18137"/>
                <wp:lineTo x="21346" y="0"/>
                <wp:lineTo x="3790" y="0"/>
                <wp:lineTo x="399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04" b="-11515"/>
                    <a:stretch/>
                  </pic:blipFill>
                  <pic:spPr bwMode="auto">
                    <a:xfrm>
                      <a:off x="0" y="0"/>
                      <a:ext cx="2750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AD8" w:rsidRDefault="00B36AD8" w:rsidP="003607B8">
      <w:pPr>
        <w:rPr>
          <w:sz w:val="15"/>
          <w:szCs w:val="15"/>
        </w:rPr>
      </w:pPr>
    </w:p>
    <w:p w:rsidR="00B36AD8" w:rsidRDefault="00B36AD8" w:rsidP="003607B8">
      <w:pPr>
        <w:rPr>
          <w:sz w:val="15"/>
          <w:szCs w:val="15"/>
        </w:rPr>
      </w:pPr>
    </w:p>
    <w:p w:rsidR="00B36AD8" w:rsidRDefault="009A7F47" w:rsidP="003607B8">
      <w:pPr>
        <w:rPr>
          <w:sz w:val="15"/>
          <w:szCs w:val="15"/>
        </w:rPr>
      </w:pPr>
      <w:r>
        <w:rPr>
          <w:sz w:val="15"/>
          <w:szCs w:val="15"/>
        </w:rPr>
        <w:t>28-08-2018 r.</w:t>
      </w:r>
    </w:p>
    <w:p w:rsidR="008D37C4" w:rsidRPr="004C67D2" w:rsidRDefault="008D37C4" w:rsidP="003607B8">
      <w:pPr>
        <w:rPr>
          <w:sz w:val="18"/>
          <w:szCs w:val="18"/>
        </w:rPr>
      </w:pPr>
    </w:p>
    <w:p w:rsidR="004458E9" w:rsidRDefault="004458E9" w:rsidP="00437FAF">
      <w:pPr>
        <w:spacing w:after="0"/>
        <w:rPr>
          <w:rFonts w:cs="Verdana"/>
          <w:b/>
          <w:bCs/>
          <w:sz w:val="32"/>
          <w:szCs w:val="32"/>
        </w:rPr>
      </w:pPr>
    </w:p>
    <w:p w:rsidR="003747AF" w:rsidRDefault="003747AF" w:rsidP="005C7D0E">
      <w:pPr>
        <w:spacing w:after="0"/>
        <w:jc w:val="center"/>
        <w:rPr>
          <w:rFonts w:cs="Verdana"/>
          <w:b/>
          <w:bCs/>
          <w:sz w:val="32"/>
          <w:szCs w:val="32"/>
        </w:rPr>
      </w:pPr>
    </w:p>
    <w:p w:rsidR="00437FAF" w:rsidRPr="004C67D2" w:rsidRDefault="004B58DB" w:rsidP="005C7D0E">
      <w:pPr>
        <w:spacing w:after="0"/>
        <w:jc w:val="center"/>
        <w:rPr>
          <w:rFonts w:cs="Verdan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Konferencji</w:t>
      </w:r>
    </w:p>
    <w:p w:rsidR="004B58DB" w:rsidRPr="004C67D2" w:rsidRDefault="004B58DB" w:rsidP="003607B8">
      <w:pPr>
        <w:rPr>
          <w:rFonts w:cs="Verdana"/>
        </w:rPr>
      </w:pPr>
    </w:p>
    <w:p w:rsidR="004B58DB" w:rsidRPr="004C67D2" w:rsidRDefault="009A7F47" w:rsidP="003607B8">
      <w:pPr>
        <w:rPr>
          <w:rFonts w:cs="Verdana"/>
        </w:rPr>
      </w:pPr>
      <w:r>
        <w:t>Przyjęta przez XXVII Konferencję Parlamentarną Morza Bałtyckiego (KPMB)</w:t>
      </w:r>
    </w:p>
    <w:p w:rsidR="004B58DB" w:rsidRPr="004C67D2" w:rsidRDefault="004B58DB" w:rsidP="003607B8">
      <w:pPr>
        <w:rPr>
          <w:rFonts w:cs="Verdana"/>
          <w:szCs w:val="20"/>
        </w:rPr>
      </w:pPr>
    </w:p>
    <w:p w:rsidR="00FA7F72" w:rsidRPr="00A53206" w:rsidRDefault="00DF15F5" w:rsidP="00DF15F5">
      <w:pPr>
        <w:rPr>
          <w:rFonts w:cs="Verdana"/>
          <w:color w:val="000000" w:themeColor="text1"/>
          <w:szCs w:val="20"/>
        </w:rPr>
      </w:pPr>
      <w:r>
        <w:rPr>
          <w:color w:val="000000" w:themeColor="text1"/>
          <w:szCs w:val="20"/>
        </w:rPr>
        <w:t>Uczestnicy, wyłonieni drogą wyboru przedstawiciele państw regionu Morza Bałtyckiego</w:t>
      </w:r>
      <w:r>
        <w:rPr>
          <w:color w:val="000000" w:themeColor="text1"/>
          <w:sz w:val="16"/>
          <w:szCs w:val="20"/>
        </w:rPr>
        <w:t>*</w:t>
      </w:r>
      <w:r>
        <w:rPr>
          <w:color w:val="000000" w:themeColor="text1"/>
          <w:szCs w:val="20"/>
        </w:rPr>
        <w:t xml:space="preserve">, zgromadzeni w </w:t>
      </w:r>
      <w:proofErr w:type="spellStart"/>
      <w:r>
        <w:rPr>
          <w:color w:val="000000" w:themeColor="text1"/>
          <w:szCs w:val="20"/>
        </w:rPr>
        <w:t>Maarianhaminie</w:t>
      </w:r>
      <w:proofErr w:type="spellEnd"/>
      <w:r>
        <w:rPr>
          <w:color w:val="000000" w:themeColor="text1"/>
          <w:szCs w:val="20"/>
        </w:rPr>
        <w:t>, na Wyspach Alandzkich, w dniach 26-28 sierpnia 2018 r.,</w:t>
      </w:r>
    </w:p>
    <w:p w:rsidR="00377329" w:rsidRDefault="00377329" w:rsidP="00DF15F5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– ponownie wyrażają oczekiwanie, że wszystkie kraje bałtyckie dołożą wszelkich starań, w celu zapewnienia, aby region Morza Bałtyckiego pozostawał obszarem pokojowych i zacieśnionych relacji sąsiedzkich oraz intensywnej współpracy </w:t>
      </w:r>
      <w:r>
        <w:rPr>
          <w:bCs/>
          <w:color w:val="000000" w:themeColor="text1"/>
          <w:szCs w:val="20"/>
        </w:rPr>
        <w:t>opartej na demokratycznych wartościach, praworządności, prawach człowieka i równych szansach</w:t>
      </w:r>
      <w:r>
        <w:rPr>
          <w:color w:val="000000" w:themeColor="text1"/>
          <w:szCs w:val="20"/>
        </w:rPr>
        <w:t>. W tym celu będą wykorzystywać wszelkie możliwości parlamentarnej, rządowej i społecznej wymiany oraz dialogu demokratycznego między sąsiadami. Z tego powodu z zadowoleniem przyjmują oni Deklarację Sztokholmską Rady Państw Morza Bałtyckiego, a w szczególności plan działań dotyczący reform. Z zadowoleniem przyjmują również wznowienie posiedzeń ministrów spraw zagranicznych Rady Państw Morza Bałtyckiego (RPMB) w ramach prezydencji Szwecji, jednocześnie wzywając do wznowienia szczytów RPMB. Pozwoli to na wzmocnienie dialogu, zacieśnienie współpracy oraz manifestowanie pokoju;</w:t>
      </w:r>
    </w:p>
    <w:p w:rsidR="00FE027D" w:rsidRPr="00A53206" w:rsidRDefault="00DB25B8" w:rsidP="00DF15F5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– z zadowoleniem przyjmują wszechstronne oświadczenia i sprawozdania złożone przez rządy państw regionu Morza Bałtyckiego dotyczące realizacji uchwały XXVI Konferencji Parlamentarnej Morza Bałtyckiego oraz postępy we wdrażaniu wezwań KPMB do działań;</w:t>
      </w:r>
    </w:p>
    <w:p w:rsidR="00512CC4" w:rsidRDefault="00330EA7" w:rsidP="00330EA7">
      <w:pPr>
        <w:rPr>
          <w:rFonts w:cs="Verdana"/>
          <w:bCs/>
          <w:color w:val="000000" w:themeColor="text1"/>
          <w:szCs w:val="20"/>
        </w:rPr>
      </w:pPr>
      <w:r>
        <w:rPr>
          <w:color w:val="000000" w:themeColor="text1"/>
        </w:rPr>
        <w:t xml:space="preserve">– </w:t>
      </w:r>
      <w:r>
        <w:rPr>
          <w:color w:val="000000" w:themeColor="text1"/>
          <w:szCs w:val="20"/>
        </w:rPr>
        <w:t>z zadowoleniem przyjmują starania szwedzkiej prezydencji RPMB podejmowane w latach 2017/2018 w celu uspójnienia</w:t>
      </w:r>
      <w:bookmarkStart w:id="0" w:name="_GoBack"/>
      <w:bookmarkEnd w:id="0"/>
      <w:r>
        <w:rPr>
          <w:color w:val="000000" w:themeColor="text1"/>
          <w:szCs w:val="20"/>
        </w:rPr>
        <w:t xml:space="preserve"> współpracy w regionie Morza Bałtyckiego, przyjmują do wiadomości postępy poczynione przez RPMB – w oparciu o priorytety zrównoważonego rozwoju, ciągłości i zdolności adaptacji w ramach celów ONZ na 2030 r. – oraz</w:t>
      </w:r>
      <w:r>
        <w:rPr>
          <w:color w:val="000000" w:themeColor="text1"/>
        </w:rPr>
        <w:t xml:space="preserve"> </w:t>
      </w:r>
      <w:r>
        <w:t>uznają osiągnięcia w zakresie zrównoważonego rozwoju, młodzieży, zwalczania handlu ludźmi, ochrony dzieci i ludności</w:t>
      </w:r>
      <w:r>
        <w:rPr>
          <w:color w:val="000000" w:themeColor="text1"/>
          <w:szCs w:val="20"/>
        </w:rPr>
        <w:t>;</w:t>
      </w:r>
      <w:r>
        <w:rPr>
          <w:bCs/>
          <w:color w:val="000000" w:themeColor="text1"/>
          <w:szCs w:val="20"/>
        </w:rPr>
        <w:t xml:space="preserve"> </w:t>
      </w:r>
    </w:p>
    <w:p w:rsidR="00121662" w:rsidRPr="006B1FC7" w:rsidRDefault="00121662" w:rsidP="00121662">
      <w:pPr>
        <w:rPr>
          <w:rFonts w:eastAsia="Times New Roman" w:cs="Verdana"/>
          <w:bCs/>
          <w:color w:val="000000" w:themeColor="text1"/>
          <w:szCs w:val="20"/>
          <w:u w:val="single"/>
        </w:rPr>
      </w:pPr>
      <w:r>
        <w:rPr>
          <w:bCs/>
          <w:color w:val="000000" w:themeColor="text1"/>
          <w:szCs w:val="20"/>
        </w:rPr>
        <w:t>zachęcają, by podczas prezydencji Łotwy w RPMB w latach 2018/2019 kontynuowano wysiłki w ramach trzech priorytetów RPMB: Integralność i bezpieczeństwo publiczne, Dialog, Odpowiedzialność;</w:t>
      </w:r>
    </w:p>
    <w:p w:rsidR="00CA7DD6" w:rsidRPr="00A53206" w:rsidRDefault="00CA7DD6" w:rsidP="00330EA7">
      <w:pPr>
        <w:rPr>
          <w:rFonts w:cs="Verdana"/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lastRenderedPageBreak/>
        <w:t>– podzielają wizję Grupy RPMB ds. Wizji zakładającą, że region Morza Bałtyckiego stanie się wzorem w zakresie norm i polityk ekologicznych, gospodarczych, społecznych i bezpieczeństwa, z energicznym społeczeństwem obywatelskim na szczeblu regionalnym, i uwzględnią sprawozdanie Grupy ds. Wizji w dalszych dyskusjach na temat przyszłości regionu Morza Bałtyckiego;</w:t>
      </w:r>
    </w:p>
    <w:p w:rsidR="00330EA7" w:rsidRDefault="00512CC4" w:rsidP="00330EA7">
      <w:pPr>
        <w:rPr>
          <w:rFonts w:cs="Verdana"/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– ponownie podkreślają potrzebę młodzieżowej wymiany politycznej oraz przystąpią do utworzenia Młodzieżowego Forum Parlamentarnego Morza Bałtyckiego w oparciu o projekty młodzieżowe realizowane przez parlamenty członkowskie i organizacje parlamentarne, a także podejmą wysiłki na rzecz zacieśnienia współpracy między organizacjami młodzieżowymi w regionie Morza Bałtyckiego oraz w ramach takich formatów jak „</w:t>
      </w:r>
      <w:proofErr w:type="spellStart"/>
      <w:r>
        <w:rPr>
          <w:bCs/>
          <w:color w:val="000000" w:themeColor="text1"/>
          <w:szCs w:val="20"/>
        </w:rPr>
        <w:t>ReGeneration</w:t>
      </w:r>
      <w:proofErr w:type="spellEnd"/>
      <w:r>
        <w:rPr>
          <w:bCs/>
          <w:color w:val="000000" w:themeColor="text1"/>
          <w:szCs w:val="20"/>
        </w:rPr>
        <w:t xml:space="preserve"> 2030”, w których młodzież dyskutuje o kwestiach będących przedmiotem obrad KPMB;</w:t>
      </w:r>
    </w:p>
    <w:p w:rsidR="00114B7D" w:rsidRDefault="00114B7D" w:rsidP="00330EA7">
      <w:pPr>
        <w:rPr>
          <w:rFonts w:cs="Verdana"/>
          <w:bCs/>
          <w:color w:val="000000" w:themeColor="text1"/>
          <w:szCs w:val="20"/>
        </w:rPr>
      </w:pPr>
      <w:r>
        <w:t>– z zadowoleniem przyjmują wszelkie starania, których celem jest zdrowe i czyste Morze Bałtyckie;</w:t>
      </w:r>
      <w:r>
        <w:rPr>
          <w:bCs/>
          <w:color w:val="000000" w:themeColor="text1"/>
          <w:szCs w:val="20"/>
        </w:rPr>
        <w:t xml:space="preserve"> </w:t>
      </w:r>
    </w:p>
    <w:p w:rsidR="006B1FC7" w:rsidRPr="006B1FC7" w:rsidRDefault="00A51B54" w:rsidP="00A51B54">
      <w:pPr>
        <w:rPr>
          <w:rFonts w:eastAsia="Times New Roman" w:cs="Verdana"/>
          <w:bCs/>
          <w:color w:val="000000" w:themeColor="text1"/>
          <w:szCs w:val="20"/>
          <w:u w:val="single"/>
        </w:rPr>
      </w:pPr>
      <w:r>
        <w:rPr>
          <w:bCs/>
          <w:color w:val="000000" w:themeColor="text1"/>
          <w:szCs w:val="20"/>
        </w:rPr>
        <w:t>- określają sposób, jako pierwszy krok w ramach postępowej polityki zagranicznej i handlowej, zajęcia się sprawą plastikowych odpadów w skali globalnej;</w:t>
      </w:r>
    </w:p>
    <w:p w:rsidR="00330EA7" w:rsidRPr="00A53206" w:rsidRDefault="00012932" w:rsidP="00A53206">
      <w:pPr>
        <w:rPr>
          <w:color w:val="000000" w:themeColor="text1"/>
          <w:sz w:val="21"/>
          <w:szCs w:val="21"/>
        </w:rPr>
      </w:pPr>
      <w:r>
        <w:rPr>
          <w:bCs/>
          <w:color w:val="000000" w:themeColor="text1"/>
          <w:szCs w:val="20"/>
        </w:rPr>
        <w:t xml:space="preserve">– z ogromnym </w:t>
      </w:r>
      <w:r>
        <w:rPr>
          <w:color w:val="000000" w:themeColor="text1"/>
          <w:sz w:val="21"/>
          <w:szCs w:val="21"/>
        </w:rPr>
        <w:t>zadowoleniem przyjmują wszystkie konkretne działania i wszystkie przepisy wprowadzające zakaz korzystania z jednorazowych produktów z tworzywa sztucznego, które często znajdowane są na plażach lub w oceanach wraz z narzędziami połowowymi zgubionymi lub porzuconymi na morzu lub ograniczenia w zakresie używania tych produktów oraz ukierunkowane na zwiększenie wśród konsumentów świadomości negatywnego wpływu odpadów tworzyw sztucznych;</w:t>
      </w:r>
      <w:r>
        <w:rPr>
          <w:bCs/>
          <w:i/>
          <w:color w:val="000000" w:themeColor="text1"/>
          <w:sz w:val="21"/>
          <w:szCs w:val="21"/>
        </w:rPr>
        <w:t xml:space="preserve">   </w:t>
      </w:r>
    </w:p>
    <w:p w:rsidR="00DF15F5" w:rsidRPr="00A53206" w:rsidRDefault="00330EA7" w:rsidP="00DF15F5">
      <w:pPr>
        <w:rPr>
          <w:color w:val="000000" w:themeColor="text1"/>
        </w:rPr>
      </w:pPr>
      <w:r>
        <w:rPr>
          <w:bCs/>
          <w:i/>
          <w:color w:val="000000" w:themeColor="text1"/>
          <w:sz w:val="21"/>
          <w:szCs w:val="21"/>
        </w:rPr>
        <w:t xml:space="preserve">– </w:t>
      </w:r>
      <w:r>
        <w:rPr>
          <w:color w:val="000000" w:themeColor="text1"/>
          <w:szCs w:val="20"/>
        </w:rPr>
        <w:t xml:space="preserve">prowadzą dyskusję na temat współpracy, </w:t>
      </w:r>
      <w:r>
        <w:rPr>
          <w:color w:val="000000" w:themeColor="text1"/>
        </w:rPr>
        <w:t>wizji zdrowego Morza Bałtyckiego, zrównoważonej energii oraz migracji i integracji</w:t>
      </w:r>
      <w:r>
        <w:rPr>
          <w:color w:val="000000" w:themeColor="text1"/>
          <w:szCs w:val="20"/>
        </w:rPr>
        <w:t>;</w:t>
      </w:r>
    </w:p>
    <w:p w:rsidR="00A255F6" w:rsidRDefault="00A255F6" w:rsidP="0080639F">
      <w:pPr>
        <w:rPr>
          <w:rFonts w:cs="Verdana"/>
          <w:color w:val="000000" w:themeColor="text1"/>
          <w:szCs w:val="20"/>
        </w:rPr>
      </w:pPr>
    </w:p>
    <w:p w:rsidR="00031133" w:rsidRPr="00A255F6" w:rsidRDefault="00DF15F5" w:rsidP="0080639F">
      <w:pPr>
        <w:rPr>
          <w:rFonts w:cs="Verdana"/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wzywają rządy Regionu Morza Bałtyckiego, RPMB i UE</w:t>
      </w:r>
    </w:p>
    <w:p w:rsidR="0097495B" w:rsidRPr="00A53206" w:rsidRDefault="0097495B" w:rsidP="0080639F">
      <w:pPr>
        <w:rPr>
          <w:rFonts w:cs="Verdana"/>
          <w:color w:val="000000" w:themeColor="text1"/>
          <w:szCs w:val="20"/>
        </w:rPr>
      </w:pPr>
    </w:p>
    <w:p w:rsidR="006E0DEF" w:rsidRPr="00A53206" w:rsidRDefault="006114B6" w:rsidP="005821EE">
      <w:pPr>
        <w:rPr>
          <w:rFonts w:cs="Verdana"/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 xml:space="preserve">W kwestii współpracy w Regionie do </w:t>
      </w:r>
    </w:p>
    <w:p w:rsidR="0079155F" w:rsidRPr="00A53206" w:rsidRDefault="0079155F" w:rsidP="005821EE">
      <w:pPr>
        <w:rPr>
          <w:rFonts w:cs="Verdana"/>
          <w:bCs/>
          <w:color w:val="000000" w:themeColor="text1"/>
          <w:sz w:val="21"/>
          <w:szCs w:val="21"/>
        </w:rPr>
      </w:pPr>
    </w:p>
    <w:p w:rsidR="005C7D0E" w:rsidRPr="005C7D0E" w:rsidRDefault="002F5E90" w:rsidP="005C7D0E">
      <w:pPr>
        <w:pStyle w:val="NormalnyWeb"/>
        <w:numPr>
          <w:ilvl w:val="0"/>
          <w:numId w:val="20"/>
        </w:numPr>
        <w:rPr>
          <w:rFonts w:cs="Verdana"/>
          <w:bCs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zintensyfikowania interakcji między polityką wymiaru północnego, strategią UE dla regionu Morza Bałtyckiego oraz rosyjską strategią na rzecz rozwoju społeczno-gospodarczego Północno-Zachodniego Okręgu Federalnego; </w:t>
      </w:r>
    </w:p>
    <w:p w:rsidR="00A51B54" w:rsidRPr="00A51B54" w:rsidRDefault="00C52DF8" w:rsidP="00A51B54">
      <w:pPr>
        <w:pStyle w:val="NormalnyWeb"/>
        <w:numPr>
          <w:ilvl w:val="0"/>
          <w:numId w:val="20"/>
        </w:numPr>
        <w:rPr>
          <w:rFonts w:eastAsia="Times New Roman" w:cs="Times New Roman"/>
          <w:color w:val="000000" w:themeColor="text1"/>
          <w:szCs w:val="20"/>
        </w:rPr>
      </w:pPr>
      <w:r>
        <w:rPr>
          <w:color w:val="000000" w:themeColor="text1"/>
          <w:szCs w:val="20"/>
        </w:rPr>
        <w:t>rozszerzenia zakresu programów transnarodowych obejmujących cały obszar Morza Bałtyckiego oraz do włączenia tej możliwości i odpowiedniego finansowania do wszystkich strategii makroregionalnych na szczeblu formalnym w celu poprawy stosunków między państwami sąsiadującymi;</w:t>
      </w:r>
    </w:p>
    <w:p w:rsidR="005C7D0E" w:rsidRPr="005C7D0E" w:rsidRDefault="00075C17" w:rsidP="00A51B54">
      <w:pPr>
        <w:pStyle w:val="NormalnyWeb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Cs w:val="20"/>
        </w:rPr>
        <w:t>zacieśnienia współpracy w zakresie migracji i integracji, uwzględniając wszystkie państwa z dostępem do Morza Bałtyckiego, aby lepiej sprostać podobnym zadaniom;</w:t>
      </w:r>
    </w:p>
    <w:p w:rsidR="00A51B54" w:rsidRPr="005C7D0E" w:rsidRDefault="00A51B54" w:rsidP="00A51B54">
      <w:pPr>
        <w:pStyle w:val="NormalnyWeb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lastRenderedPageBreak/>
        <w:t>zintensyfikowania programów w zakresie wizyt i międzynarodowych spotkań młodzieży w celu poznania się, pogłębiania wzajemnego zrozumienia oraz rozwijania kontaktów;</w:t>
      </w:r>
    </w:p>
    <w:p w:rsidR="00A255F6" w:rsidRPr="00A255F6" w:rsidRDefault="00DB6FA5" w:rsidP="00A255F6">
      <w:pPr>
        <w:pStyle w:val="NormalnyWeb"/>
        <w:numPr>
          <w:ilvl w:val="0"/>
          <w:numId w:val="20"/>
        </w:numPr>
        <w:rPr>
          <w:rFonts w:cs="Verdana"/>
          <w:bCs/>
          <w:color w:val="000000" w:themeColor="text1"/>
          <w:sz w:val="21"/>
          <w:szCs w:val="21"/>
        </w:rPr>
      </w:pPr>
      <w:r>
        <w:rPr>
          <w:color w:val="000000" w:themeColor="text1"/>
          <w:szCs w:val="20"/>
        </w:rPr>
        <w:t>aktywnego wsparcia – zgodnie z deklaracją ministerialną przyjętą przez ministrów pracy RPMP w czerwcu 2017 r. – w zakresie pracy i zatrudnienia w regionie Morza Bałtyckiego, prac „Grupy Koordynującej RPMB/BSLF ds. Pracy i Zatrudnienia – która skupia się na przekrojowych i szczególnie aktualnych kwestiach dotyczących nowych kwalifikacji wymaganych do przyszłych modeli pracy, ich powiązaniu z edukacją oraz potrzebami rynku pracy, uczeniu się przez całe życie, kompleksowych prognozach i badaniach rynku pracy, z uwzględnieniem wyzwań demograficznych;</w:t>
      </w:r>
      <w:r>
        <w:t xml:space="preserve"> </w:t>
      </w:r>
      <w:r>
        <w:rPr>
          <w:color w:val="000000" w:themeColor="text1"/>
          <w:szCs w:val="20"/>
        </w:rPr>
        <w:t>zagwarantowania równych szans dla mężczyzn i kobiet</w:t>
      </w:r>
    </w:p>
    <w:p w:rsidR="003F77B9" w:rsidRPr="00A255F6" w:rsidRDefault="00D45A82" w:rsidP="00A255F6">
      <w:pPr>
        <w:pStyle w:val="NormalnyWeb"/>
        <w:numPr>
          <w:ilvl w:val="0"/>
          <w:numId w:val="20"/>
        </w:numPr>
        <w:rPr>
          <w:rFonts w:cs="Verdana"/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Cs w:val="20"/>
        </w:rPr>
        <w:t xml:space="preserve">sprostania </w:t>
      </w:r>
      <w:r>
        <w:t xml:space="preserve">wyzwaniom </w:t>
      </w:r>
      <w:r>
        <w:rPr>
          <w:bCs/>
          <w:color w:val="000000" w:themeColor="text1"/>
          <w:szCs w:val="20"/>
        </w:rPr>
        <w:t>starzenia się społeczeństwa, spójności społecznej i zrównoważonego rozwoju w regionie Morza Bałtyckiego przez zacieśnienie współpracy w zakresie środków zachęty i praktycznych systemów uczenia się przez całe życie i uczenia się dorosłych, dostosowywania warunków i miejsc pracy do potrzeb osób starszych, polityk zwalczania dyskryminacji ze względu na wiek, środków promowania dobrego zdrowia oraz elastycznych i stopniowych programów emerytalnych;</w:t>
      </w:r>
    </w:p>
    <w:p w:rsidR="003F77B9" w:rsidRPr="00A53206" w:rsidRDefault="003F77B9" w:rsidP="00C60ECD">
      <w:pPr>
        <w:jc w:val="left"/>
        <w:rPr>
          <w:rFonts w:cs="Verdana"/>
          <w:bCs/>
          <w:i/>
          <w:color w:val="000000" w:themeColor="text1"/>
          <w:sz w:val="21"/>
          <w:szCs w:val="21"/>
        </w:rPr>
      </w:pPr>
    </w:p>
    <w:p w:rsidR="0079155F" w:rsidRPr="00A53206" w:rsidRDefault="009270AC" w:rsidP="009270AC">
      <w:pPr>
        <w:rPr>
          <w:rFonts w:cs="Verdana"/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>W kwestii wizji zdrowego Morza Bałtyckiego do</w:t>
      </w:r>
    </w:p>
    <w:p w:rsidR="00D51928" w:rsidRPr="00A53206" w:rsidRDefault="00D51928" w:rsidP="009270AC">
      <w:pPr>
        <w:rPr>
          <w:rFonts w:cs="Verdana"/>
          <w:b/>
          <w:bCs/>
          <w:color w:val="000000" w:themeColor="text1"/>
          <w:sz w:val="21"/>
          <w:szCs w:val="21"/>
        </w:rPr>
      </w:pPr>
    </w:p>
    <w:p w:rsidR="00D11AE6" w:rsidRDefault="00451603" w:rsidP="00935454">
      <w:pPr>
        <w:pStyle w:val="Akapitzlist"/>
        <w:numPr>
          <w:ilvl w:val="0"/>
          <w:numId w:val="20"/>
        </w:numPr>
        <w:rPr>
          <w:rFonts w:cs="Verdana"/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– ponieważ KPMB popiera deklarację ministerialną HELCOM, przyjętą w Brukseli dnia 6 marca 2018 r., oraz podziela zawarty w niej krytyczny pogląd na stan Morza Bałtyckiego, dotyczący szeregu aspektów – energicznego wdrożenia decyzji zawartych w decyzji ministerialnej;</w:t>
      </w:r>
    </w:p>
    <w:p w:rsidR="00DA6E35" w:rsidRDefault="00A51B54" w:rsidP="00A51B54">
      <w:pPr>
        <w:pStyle w:val="Akapitzlist"/>
        <w:numPr>
          <w:ilvl w:val="0"/>
          <w:numId w:val="20"/>
        </w:numPr>
        <w:spacing w:after="0"/>
        <w:rPr>
          <w:rFonts w:cs="Verdana"/>
          <w:bCs/>
        </w:rPr>
      </w:pPr>
      <w:r>
        <w:t xml:space="preserve">ustanowienia skutecznej </w:t>
      </w:r>
      <w:r>
        <w:rPr>
          <w:bCs/>
          <w:color w:val="000000" w:themeColor="text1"/>
          <w:szCs w:val="20"/>
        </w:rPr>
        <w:t>koordynacji</w:t>
      </w:r>
      <w:r>
        <w:t xml:space="preserve"> procesów i polityk mających na celu wsparcie strategii wdrażania zrównoważonego „błękitnego wzrostu” w regionie Morza Bałtyckiego;</w:t>
      </w:r>
    </w:p>
    <w:p w:rsidR="00A51B54" w:rsidRPr="00DA6E35" w:rsidRDefault="00A51B54" w:rsidP="00A51B54">
      <w:pPr>
        <w:pStyle w:val="Akapitzlist"/>
        <w:numPr>
          <w:ilvl w:val="0"/>
          <w:numId w:val="20"/>
        </w:numPr>
        <w:spacing w:after="0"/>
        <w:rPr>
          <w:rFonts w:cs="Verdana"/>
          <w:bCs/>
        </w:rPr>
      </w:pPr>
      <w:r>
        <w:t>rozszerzenia konsultacji i współpracy w odniesieniu do głównego planu zagospodarowania przestrzennego w regionie Morza Bałtyckiego, z uwzględnieniem wszelkich interesów i aspektów związanych z gospodarką (żegluga, rybołówstwo, energetyka, turystyka itd.), środowiskiem i państwami sąsiadującymi;</w:t>
      </w:r>
    </w:p>
    <w:p w:rsidR="00DA6E35" w:rsidRPr="00DA6E35" w:rsidRDefault="00245380" w:rsidP="00DA6E35">
      <w:pPr>
        <w:pStyle w:val="NormalnyWeb"/>
        <w:numPr>
          <w:ilvl w:val="0"/>
          <w:numId w:val="20"/>
        </w:numPr>
        <w:rPr>
          <w:rFonts w:eastAsia="Times New Roman" w:cs="Arial"/>
          <w:color w:val="000000" w:themeColor="text1"/>
          <w:szCs w:val="20"/>
          <w:shd w:val="clear" w:color="auto" w:fill="F5F6F5"/>
        </w:rPr>
      </w:pPr>
      <w:r>
        <w:rPr>
          <w:bCs/>
          <w:color w:val="000000" w:themeColor="text1"/>
          <w:szCs w:val="20"/>
        </w:rPr>
        <w:t>mając na uwadze fakt, że, w zależności od państwa, obecnie na szczeblu krajowym spełnionych jest tylko 25–60% celów bałtyckiego planu działania HELCOM do wdrożenia do 2021 r. – pilnego wzmożenia starań na szczeblu krajowym i regionalnym, aby wyznaczyć właściwe priorytety polityczne umożliwiające terminowe – tak dalece, jak to tylko możliwe – osiągnięcie celów bałtyckiego planu działania wyznaczone na 2021 r.;</w:t>
      </w:r>
    </w:p>
    <w:p w:rsidR="000364F2" w:rsidRPr="00DA6E35" w:rsidRDefault="00245380" w:rsidP="00DA6E35">
      <w:pPr>
        <w:pStyle w:val="NormalnyWeb"/>
        <w:numPr>
          <w:ilvl w:val="0"/>
          <w:numId w:val="20"/>
        </w:numPr>
        <w:rPr>
          <w:rFonts w:eastAsia="Times New Roman" w:cs="Arial"/>
          <w:color w:val="000000" w:themeColor="text1"/>
          <w:szCs w:val="20"/>
          <w:shd w:val="clear" w:color="auto" w:fill="F5F6F5"/>
        </w:rPr>
      </w:pPr>
      <w:r>
        <w:rPr>
          <w:bCs/>
          <w:color w:val="000000" w:themeColor="text1"/>
          <w:szCs w:val="20"/>
        </w:rPr>
        <w:t xml:space="preserve">odbywania regularnych spotkań ministerialnych HELCOM – z udziałem wszystkich właściwych ministrów każdego państwa członkowskiego – oraz ustalania obowiązujących przepisów prawa międzynarodowego – tak jak uczyniono w przypadku środków ukierunkowanych na zwiększenie bezpieczeństwa morskiego przy udziale ministrów transportu – tym samym w większym stopniu włączając kwestię czystego Morza Bałtyckiego do </w:t>
      </w:r>
      <w:r>
        <w:rPr>
          <w:bCs/>
          <w:color w:val="000000" w:themeColor="text1"/>
          <w:szCs w:val="20"/>
        </w:rPr>
        <w:lastRenderedPageBreak/>
        <w:t>debaty politycznej w każdym państwie i regionie oraz zapewnić lepszą egzekwowalność osiągniętych porozumień;</w:t>
      </w:r>
    </w:p>
    <w:p w:rsidR="00DA6E35" w:rsidRPr="00DA6E35" w:rsidRDefault="007A3995" w:rsidP="00DA6E35">
      <w:pPr>
        <w:pStyle w:val="NormalnyWeb"/>
        <w:numPr>
          <w:ilvl w:val="0"/>
          <w:numId w:val="20"/>
        </w:numPr>
        <w:rPr>
          <w:rFonts w:eastAsia="Times New Roman" w:cs="Times New Roman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opracowania lub udoskonalenia wspólnych i dodatkowych strategii </w:t>
      </w:r>
      <w:r>
        <w:rPr>
          <w:bCs/>
          <w:color w:val="000000" w:themeColor="text1"/>
          <w:szCs w:val="20"/>
        </w:rPr>
        <w:t>zrównoważonego rozwoju</w:t>
      </w:r>
      <w:r>
        <w:rPr>
          <w:color w:val="000000" w:themeColor="text1"/>
          <w:szCs w:val="20"/>
        </w:rPr>
        <w:t xml:space="preserve"> na szczeblu krajowym i regionalnym, aby osiągnąć cele Agendy ONZ wyznaczone na </w:t>
      </w:r>
      <w:r>
        <w:rPr>
          <w:bCs/>
          <w:color w:val="000000" w:themeColor="text1"/>
          <w:szCs w:val="20"/>
        </w:rPr>
        <w:t>2030 r. i zrealizować wizję czystego Morza Bałtyckiego wolnego od odpadów wyrzucanych do morza przy jednoczesnym propagowaniu zrównoważonych praktyk rolnych, bardziej zrównoważonego sektora żeglugi i zwalczaniu eutrofizacji oraz hałasu podwodnego</w:t>
      </w:r>
      <w:r>
        <w:rPr>
          <w:color w:val="000000" w:themeColor="text1"/>
          <w:szCs w:val="20"/>
        </w:rPr>
        <w:t>;</w:t>
      </w:r>
    </w:p>
    <w:p w:rsidR="00DA6E35" w:rsidRDefault="00DA6E35" w:rsidP="00DA6E35">
      <w:pPr>
        <w:pStyle w:val="Akapitzlist"/>
        <w:numPr>
          <w:ilvl w:val="0"/>
          <w:numId w:val="20"/>
        </w:numPr>
        <w:spacing w:after="0"/>
        <w:rPr>
          <w:rFonts w:eastAsia="Times New Roman" w:cs="Times New Roman"/>
          <w:color w:val="000000" w:themeColor="text1"/>
          <w:szCs w:val="20"/>
        </w:rPr>
      </w:pPr>
      <w:r>
        <w:rPr>
          <w:color w:val="000000" w:themeColor="text1"/>
          <w:szCs w:val="20"/>
        </w:rPr>
        <w:t>przygotowania się na „dekadę nauki o oceanach na rzecz zrównoważonego rozwoju” ustanowioną przez Organizację Narodów Zjednoczonych na lata 2021–2030 i przyczynienia się do jej ukształtowania, aby zrealizować cel w postaci takiego oceanu, jakiego potrzebujemy, dla takiej przyszłości, jakiej chcemy.</w:t>
      </w:r>
    </w:p>
    <w:p w:rsidR="00D51928" w:rsidRPr="00DA6E35" w:rsidRDefault="00077893" w:rsidP="00DA6E35">
      <w:pPr>
        <w:pStyle w:val="Akapitzlist"/>
        <w:numPr>
          <w:ilvl w:val="0"/>
          <w:numId w:val="20"/>
        </w:numPr>
        <w:spacing w:after="0"/>
        <w:rPr>
          <w:rFonts w:eastAsia="Times New Roman" w:cs="Times New Roman"/>
          <w:color w:val="000000" w:themeColor="text1"/>
          <w:szCs w:val="20"/>
        </w:rPr>
      </w:pPr>
      <w:r>
        <w:t>dalszego wzmacniania związków między celami zrównoważonego rozwoju ONZ oraz prawami człowieka, przy jednoczesnym uznaniu ich bliskiej zależności i wzajemnego wzmacniania;</w:t>
      </w:r>
    </w:p>
    <w:p w:rsidR="00604331" w:rsidRPr="00A53206" w:rsidRDefault="00484BEE" w:rsidP="00293519">
      <w:pPr>
        <w:pStyle w:val="Akapitzlist"/>
        <w:numPr>
          <w:ilvl w:val="0"/>
          <w:numId w:val="20"/>
        </w:numPr>
        <w:rPr>
          <w:rFonts w:cs="Verdana"/>
          <w:bCs/>
          <w:color w:val="000000" w:themeColor="text1"/>
          <w:sz w:val="18"/>
          <w:szCs w:val="20"/>
        </w:rPr>
      </w:pPr>
      <w:r>
        <w:rPr>
          <w:color w:val="000000" w:themeColor="text1"/>
        </w:rPr>
        <w:t xml:space="preserve">podjęcia środków zapobiegawczych i natychmiastowych działań, aby poprawić jakość ścieków, niezwłocznie zatrzymać odprowadzanie ścieków nieoczyszczonych oraz wykazać determinację w celu oczyszczenia silnie zanieczyszczonego morza; </w:t>
      </w:r>
    </w:p>
    <w:p w:rsidR="007E5C15" w:rsidRPr="00A53206" w:rsidRDefault="00077893" w:rsidP="00077893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eastAsia="Times New Roman" w:cs="Calibri"/>
          <w:color w:val="000000" w:themeColor="text1"/>
        </w:rPr>
      </w:pPr>
      <w:r>
        <w:rPr>
          <w:color w:val="000000" w:themeColor="text1"/>
        </w:rPr>
        <w:t xml:space="preserve">podjęcia pilnych i skutecznych działań w kwestii niepokojących poziomów tworzyw sztucznych i </w:t>
      </w:r>
      <w:proofErr w:type="spellStart"/>
      <w:r>
        <w:rPr>
          <w:color w:val="000000" w:themeColor="text1"/>
        </w:rPr>
        <w:t>mikrodrobin</w:t>
      </w:r>
      <w:proofErr w:type="spellEnd"/>
      <w:r>
        <w:rPr>
          <w:color w:val="000000" w:themeColor="text1"/>
        </w:rPr>
        <w:t xml:space="preserve"> plastiku w morzach; wspierania i wdrożenia przepisów dotyczących możliwie najszybszego ograniczenia korzystania z jednorazowych produktów z tworzyw sztucznych lub zakazu ich stosowania; propagowania świadomości społecznej dotyczącej zanieczyszczeń </w:t>
      </w:r>
      <w:proofErr w:type="spellStart"/>
      <w:r>
        <w:rPr>
          <w:color w:val="000000" w:themeColor="text1"/>
        </w:rPr>
        <w:t>mikrodrobinami</w:t>
      </w:r>
      <w:proofErr w:type="spellEnd"/>
      <w:r>
        <w:rPr>
          <w:color w:val="000000" w:themeColor="text1"/>
        </w:rPr>
        <w:t xml:space="preserve"> plastiku w ekosystemie Morza Bałtyckiego oraz zachęcania konsumentów do unikania produktów higienicznych zawierających </w:t>
      </w:r>
      <w:proofErr w:type="spellStart"/>
      <w:r>
        <w:rPr>
          <w:color w:val="000000" w:themeColor="text1"/>
        </w:rPr>
        <w:t>mikrodrobiny</w:t>
      </w:r>
      <w:proofErr w:type="spellEnd"/>
      <w:r>
        <w:rPr>
          <w:color w:val="000000" w:themeColor="text1"/>
        </w:rPr>
        <w:t xml:space="preserve"> plastiku;</w:t>
      </w:r>
    </w:p>
    <w:p w:rsidR="006931BD" w:rsidRPr="00A53206" w:rsidRDefault="006931BD" w:rsidP="007A3995">
      <w:pPr>
        <w:rPr>
          <w:rFonts w:cs="Verdana"/>
          <w:b/>
          <w:bCs/>
          <w:color w:val="000000" w:themeColor="text1"/>
          <w:sz w:val="21"/>
          <w:szCs w:val="21"/>
        </w:rPr>
      </w:pPr>
    </w:p>
    <w:p w:rsidR="00C60ECD" w:rsidRDefault="00C220DE" w:rsidP="00045CFC">
      <w:pPr>
        <w:rPr>
          <w:b/>
          <w:color w:val="000000" w:themeColor="text1"/>
        </w:rPr>
      </w:pPr>
      <w:r>
        <w:rPr>
          <w:b/>
          <w:color w:val="000000" w:themeColor="text1"/>
        </w:rPr>
        <w:t>W kwestii zrównoważonej energii i platform dystrybucji inteligentnej energii do</w:t>
      </w:r>
    </w:p>
    <w:p w:rsidR="00464AD1" w:rsidRPr="00A53206" w:rsidRDefault="00464AD1" w:rsidP="00045CFC">
      <w:pPr>
        <w:rPr>
          <w:b/>
          <w:color w:val="000000" w:themeColor="text1"/>
        </w:rPr>
      </w:pPr>
    </w:p>
    <w:p w:rsidR="00C220DE" w:rsidRPr="007A3995" w:rsidRDefault="00077893" w:rsidP="00B51AA9">
      <w:pPr>
        <w:pStyle w:val="Akapitzlist"/>
        <w:numPr>
          <w:ilvl w:val="0"/>
          <w:numId w:val="20"/>
        </w:numPr>
        <w:spacing w:after="0"/>
        <w:rPr>
          <w:rFonts w:eastAsia="Times New Roman" w:cs="Times New Roman"/>
          <w:color w:val="000000" w:themeColor="text1"/>
        </w:rPr>
      </w:pPr>
      <w:r>
        <w:rPr>
          <w:color w:val="000000" w:themeColor="text1"/>
        </w:rPr>
        <w:t>skutecznego stosowania transgranicznych połączeń przesyłowych przez budowę i rozwój płynnie działających sieci energetycznych, aby wspierać sprawniejszą integrację energii odnawialnej na nowych rynkach energii, także przy pomocy nowych form produktów i usług energetycznych; jak też stosowania podmorskich połączeń elektrycznych do integracji sieci;</w:t>
      </w:r>
    </w:p>
    <w:p w:rsidR="00647664" w:rsidRPr="00A53206" w:rsidRDefault="00647664" w:rsidP="00B51AA9">
      <w:pPr>
        <w:rPr>
          <w:b/>
          <w:color w:val="000000" w:themeColor="text1"/>
        </w:rPr>
      </w:pPr>
    </w:p>
    <w:p w:rsidR="00C220DE" w:rsidRDefault="00C220DE" w:rsidP="00045CFC">
      <w:pPr>
        <w:rPr>
          <w:b/>
          <w:color w:val="000000" w:themeColor="text1"/>
        </w:rPr>
      </w:pPr>
      <w:r>
        <w:rPr>
          <w:b/>
          <w:color w:val="000000" w:themeColor="text1"/>
        </w:rPr>
        <w:t>w zakresie migracji i integracji do:</w:t>
      </w:r>
    </w:p>
    <w:p w:rsidR="00C60ECD" w:rsidRPr="00A53206" w:rsidRDefault="00C60ECD" w:rsidP="00045CFC">
      <w:pPr>
        <w:rPr>
          <w:b/>
          <w:color w:val="000000" w:themeColor="text1"/>
        </w:rPr>
      </w:pPr>
    </w:p>
    <w:p w:rsidR="00546016" w:rsidRPr="008840E7" w:rsidRDefault="00005C4C" w:rsidP="006612F0">
      <w:pPr>
        <w:pStyle w:val="Akapitzlist"/>
        <w:numPr>
          <w:ilvl w:val="0"/>
          <w:numId w:val="20"/>
        </w:numPr>
        <w:spacing w:before="240" w:after="240"/>
        <w:ind w:left="709" w:hanging="468"/>
        <w:rPr>
          <w:rFonts w:eastAsia="Times New Roman" w:cs="Arial"/>
          <w:color w:val="000000" w:themeColor="text1"/>
          <w:szCs w:val="20"/>
          <w:shd w:val="clear" w:color="auto" w:fill="FFFFFF"/>
        </w:rPr>
      </w:pPr>
      <w:r>
        <w:rPr>
          <w:color w:val="000000" w:themeColor="text1"/>
          <w:szCs w:val="20"/>
          <w:shd w:val="clear" w:color="auto" w:fill="FFFFFF"/>
        </w:rPr>
        <w:t>przyjęcia do wiadomości obiektywnych różnic w systemach politycznych oraz tłach historyczno-kulturowych wynikających z blizn po drugiej wojny światowej, dalszych dyskusji i refleksji na temat ucieczek i migracji oraz dzielenia się najlepszymi praktykami w zakresie sprawowania rządów, aby zwiększyć świadomość naszych społeczeństw;</w:t>
      </w:r>
    </w:p>
    <w:p w:rsidR="00DA6E35" w:rsidRDefault="00546016" w:rsidP="00546016">
      <w:pPr>
        <w:pStyle w:val="Akapitzlist"/>
        <w:numPr>
          <w:ilvl w:val="0"/>
          <w:numId w:val="20"/>
        </w:numPr>
        <w:spacing w:before="240" w:after="240"/>
        <w:ind w:left="709" w:hanging="468"/>
        <w:rPr>
          <w:rFonts w:eastAsia="Times New Roman" w:cs="Arial"/>
          <w:color w:val="000000" w:themeColor="text1"/>
          <w:szCs w:val="20"/>
          <w:shd w:val="clear" w:color="auto" w:fill="FFFFFF"/>
        </w:rPr>
      </w:pPr>
      <w:r>
        <w:rPr>
          <w:color w:val="000000" w:themeColor="text1"/>
          <w:szCs w:val="20"/>
          <w:shd w:val="clear" w:color="auto" w:fill="FFFFFF"/>
        </w:rPr>
        <w:lastRenderedPageBreak/>
        <w:t>utworzenia baz danych</w:t>
      </w:r>
      <w:r>
        <w:rPr>
          <w:color w:val="000000" w:themeColor="text1"/>
        </w:rPr>
        <w:t xml:space="preserve"> </w:t>
      </w:r>
      <w:r>
        <w:rPr>
          <w:color w:val="000000" w:themeColor="text1"/>
          <w:szCs w:val="20"/>
          <w:shd w:val="clear" w:color="auto" w:fill="FFFFFF"/>
        </w:rPr>
        <w:t>dotyczących warunków i środków integracji w całym regionie Morza Bałtyckiego, aby zwiększyć poziom merytoryczny dyskusji publicznej;</w:t>
      </w:r>
    </w:p>
    <w:p w:rsidR="00546016" w:rsidRPr="00DA6E35" w:rsidRDefault="00546016" w:rsidP="00C60ECD">
      <w:pPr>
        <w:pStyle w:val="Akapitzlist"/>
        <w:numPr>
          <w:ilvl w:val="0"/>
          <w:numId w:val="20"/>
        </w:numPr>
        <w:spacing w:before="240" w:after="240"/>
        <w:ind w:left="709" w:hanging="468"/>
        <w:rPr>
          <w:rFonts w:eastAsia="Times New Roman" w:cs="Arial"/>
          <w:color w:val="000000" w:themeColor="text1"/>
          <w:szCs w:val="20"/>
          <w:shd w:val="clear" w:color="auto" w:fill="FFFFFF"/>
        </w:rPr>
      </w:pPr>
      <w:r>
        <w:rPr>
          <w:color w:val="000000" w:themeColor="text1"/>
          <w:szCs w:val="20"/>
          <w:shd w:val="clear" w:color="auto" w:fill="FFFFFF"/>
        </w:rPr>
        <w:t>pogłębienia dialogu na temat migracji i integracji pomiędzy krajami Morza Bałtyckiego;</w:t>
      </w:r>
    </w:p>
    <w:p w:rsidR="00DA6E35" w:rsidRDefault="00546016" w:rsidP="00546016">
      <w:pPr>
        <w:pStyle w:val="Akapitzlist"/>
        <w:numPr>
          <w:ilvl w:val="0"/>
          <w:numId w:val="20"/>
        </w:numPr>
        <w:spacing w:before="240" w:after="240"/>
        <w:ind w:left="709" w:hanging="468"/>
        <w:rPr>
          <w:rStyle w:val="apple-converted-space"/>
          <w:rFonts w:cs="Arial"/>
          <w:color w:val="000000" w:themeColor="text1"/>
          <w:szCs w:val="20"/>
          <w:shd w:val="clear" w:color="auto" w:fill="FFFFFF"/>
        </w:rPr>
      </w:pPr>
      <w:r>
        <w:rPr>
          <w:color w:val="000000" w:themeColor="text1"/>
          <w:szCs w:val="20"/>
          <w:shd w:val="clear" w:color="auto" w:fill="FFFFFF"/>
        </w:rPr>
        <w:t>rozszerzenia oferty</w:t>
      </w:r>
      <w:r>
        <w:rPr>
          <w:rStyle w:val="apple-converted-space"/>
          <w:color w:val="000000" w:themeColor="text1"/>
          <w:szCs w:val="20"/>
          <w:shd w:val="clear" w:color="auto" w:fill="FFFFFF"/>
        </w:rPr>
        <w:t> </w:t>
      </w:r>
      <w:r>
        <w:rPr>
          <w:color w:val="000000" w:themeColor="text1"/>
          <w:szCs w:val="20"/>
          <w:shd w:val="clear" w:color="auto" w:fill="FFFFFF"/>
        </w:rPr>
        <w:t>usług doradczych wyspecjalizowanych w problematyce migracyjnej i szkoleń językowych</w:t>
      </w:r>
      <w:r>
        <w:rPr>
          <w:rStyle w:val="apple-converted-space"/>
          <w:color w:val="000000" w:themeColor="text1"/>
          <w:szCs w:val="20"/>
          <w:shd w:val="clear" w:color="auto" w:fill="FFFFFF"/>
        </w:rPr>
        <w:t> celem zintensyfikowania wysiłków na rzecz integracji;</w:t>
      </w:r>
    </w:p>
    <w:p w:rsidR="00546016" w:rsidRPr="00DA6E35" w:rsidRDefault="00546016" w:rsidP="00546016">
      <w:pPr>
        <w:pStyle w:val="Akapitzlist"/>
        <w:numPr>
          <w:ilvl w:val="0"/>
          <w:numId w:val="20"/>
        </w:numPr>
        <w:spacing w:before="240" w:after="240"/>
        <w:ind w:left="709" w:hanging="468"/>
        <w:rPr>
          <w:rFonts w:cs="Arial"/>
          <w:color w:val="000000" w:themeColor="text1"/>
          <w:szCs w:val="20"/>
        </w:rPr>
      </w:pPr>
      <w:r>
        <w:rPr>
          <w:color w:val="000000" w:themeColor="text1"/>
          <w:szCs w:val="20"/>
        </w:rPr>
        <w:t>rozszerzenia projektów doradczych i wspierających kierowanych do wolontariuszy, instytucji lokalnych i organizacji społeczeństwa obywatelskiego podejmujących działania w zakresie integracji, z uwzględnieniem jednoczącej i integrującej roli sportu;</w:t>
      </w:r>
    </w:p>
    <w:p w:rsidR="00546016" w:rsidRPr="00A53206" w:rsidRDefault="00546016" w:rsidP="00546016">
      <w:pPr>
        <w:pStyle w:val="Akapitzlist"/>
        <w:numPr>
          <w:ilvl w:val="0"/>
          <w:numId w:val="20"/>
        </w:numPr>
        <w:spacing w:before="240" w:after="240"/>
        <w:ind w:left="709" w:hanging="468"/>
        <w:rPr>
          <w:rFonts w:cs="Arial"/>
          <w:color w:val="000000" w:themeColor="text1"/>
          <w:szCs w:val="20"/>
        </w:rPr>
      </w:pPr>
      <w:r>
        <w:rPr>
          <w:color w:val="000000" w:themeColor="text1"/>
          <w:szCs w:val="20"/>
        </w:rPr>
        <w:t>rozważenia perspektyw migracyjnych i bezpieczeństwa w odniesieniu do innych właściwych strategii politycznych, takich jak handel, prawa pracownicze i ochrona środowiska naturalnego.</w:t>
      </w:r>
    </w:p>
    <w:p w:rsidR="00FF1559" w:rsidRPr="00C55231" w:rsidRDefault="00546016" w:rsidP="00811498">
      <w:pPr>
        <w:pStyle w:val="Akapitzlist"/>
        <w:numPr>
          <w:ilvl w:val="0"/>
          <w:numId w:val="20"/>
        </w:numPr>
        <w:spacing w:before="240" w:after="240"/>
        <w:ind w:left="709" w:hanging="468"/>
        <w:rPr>
          <w:rFonts w:cs="Verdana"/>
          <w:bCs/>
        </w:rPr>
      </w:pPr>
      <w:r>
        <w:rPr>
          <w:color w:val="000000" w:themeColor="text1"/>
          <w:szCs w:val="20"/>
        </w:rPr>
        <w:t>poszukiwania całościowych i wielowymiarowych rozwiązań problemów wynikających z obecnej polityki dotyczącej uchodźców i migracji, obejmujących dobrze skoordynowane połączenie zarządzania migracją, pomocy humanitarnej, rozwiązań politycznych, współpracy na szczeblu europejskim i międzynarodowym, umów o sprawiedliwym handlu i pomocy rozwojowej;</w:t>
      </w:r>
    </w:p>
    <w:p w:rsidR="003747AF" w:rsidRDefault="003747AF" w:rsidP="003747AF">
      <w:pPr>
        <w:jc w:val="left"/>
        <w:rPr>
          <w:rFonts w:cs="Verdana"/>
          <w:bCs/>
        </w:rPr>
      </w:pPr>
    </w:p>
    <w:p w:rsidR="003747AF" w:rsidRDefault="003747AF" w:rsidP="003747AF">
      <w:pPr>
        <w:jc w:val="left"/>
        <w:rPr>
          <w:rFonts w:cs="Verdana"/>
          <w:b/>
          <w:bCs/>
        </w:rPr>
      </w:pPr>
    </w:p>
    <w:p w:rsidR="00C55231" w:rsidRPr="003747AF" w:rsidRDefault="00BA1689" w:rsidP="003747AF">
      <w:pPr>
        <w:jc w:val="left"/>
        <w:rPr>
          <w:rFonts w:cs="Verdana"/>
          <w:bCs/>
        </w:rPr>
      </w:pPr>
      <w:r>
        <w:rPr>
          <w:b/>
          <w:bCs/>
        </w:rPr>
        <w:t xml:space="preserve">W kwestii rozwoju i wzrostu gospodarczego w regionie </w:t>
      </w:r>
      <w:r>
        <w:rPr>
          <w:b/>
          <w:color w:val="000000" w:themeColor="text1"/>
        </w:rPr>
        <w:t>Morza</w:t>
      </w:r>
      <w:r>
        <w:rPr>
          <w:b/>
          <w:bCs/>
        </w:rPr>
        <w:t xml:space="preserve"> Bałtyckiego</w:t>
      </w:r>
    </w:p>
    <w:p w:rsidR="00FF1559" w:rsidRDefault="00811498" w:rsidP="00811498">
      <w:pPr>
        <w:pStyle w:val="Akapitzlist"/>
        <w:numPr>
          <w:ilvl w:val="0"/>
          <w:numId w:val="20"/>
        </w:numPr>
        <w:spacing w:before="240" w:after="240"/>
        <w:ind w:left="709" w:hanging="468"/>
        <w:rPr>
          <w:rFonts w:cs="Verdana"/>
          <w:bCs/>
        </w:rPr>
      </w:pPr>
      <w:r>
        <w:t>wspierania strategii wdrażania zrównoważonego „błękitnego wzrostu” w regionie Morza Bałtyckiego;</w:t>
      </w:r>
    </w:p>
    <w:p w:rsidR="00FF1559" w:rsidRDefault="00811498" w:rsidP="00811498">
      <w:pPr>
        <w:pStyle w:val="Akapitzlist"/>
        <w:numPr>
          <w:ilvl w:val="0"/>
          <w:numId w:val="20"/>
        </w:numPr>
        <w:spacing w:before="240" w:after="240"/>
        <w:ind w:left="709" w:hanging="468"/>
        <w:rPr>
          <w:rFonts w:cs="Verdana"/>
          <w:bCs/>
        </w:rPr>
      </w:pPr>
      <w:r>
        <w:t>uznania, że droga przez Morze Bałtyckie ma niezwykle istotne znaczenie w sieci transportu morskiego (jest morską autostradą) dla wszystkich państw, które mają do tego morza dostęp, jest źródłem pożywienia (rybołówstwo) oraz energii (ropa, gaz, energia wiatrowa i fal), jak też miejscem odpoczynku dla milionów turystów, a zatem wykorzystania wszelkich możliwości w ramach współpracy dotyczącej Morza Bałtyckiego z myślą o uwzględnieniu wszelkich interesów i aspektów gospodarczych, środowiskowych oraz interesów państw sąsiadujących i zarządzania nimi;</w:t>
      </w:r>
    </w:p>
    <w:p w:rsidR="00FF1559" w:rsidRDefault="00811498" w:rsidP="00811498">
      <w:pPr>
        <w:pStyle w:val="Akapitzlist"/>
        <w:numPr>
          <w:ilvl w:val="0"/>
          <w:numId w:val="20"/>
        </w:numPr>
        <w:spacing w:before="240" w:after="240"/>
        <w:ind w:left="709" w:hanging="468"/>
        <w:rPr>
          <w:rFonts w:cs="Verdana"/>
          <w:bCs/>
        </w:rPr>
      </w:pPr>
      <w:r>
        <w:t>dalszego rozwijania transeuropejskich sieci transportowych w regionie Morza Bałtyckiego, podejmowania inicjatyw mających na celu synchronizację systemów poboru opłat w Europie, szczególnie w państwach z dostępem do Morza Bałtyckiego, aby uczynić transport morski i kolejowy najkorzystniejszym ekonomicznie rozwiązaniem w porównaniu do transportu ciężarowego;</w:t>
      </w:r>
    </w:p>
    <w:p w:rsidR="00811498" w:rsidRPr="00FF1559" w:rsidRDefault="00811498" w:rsidP="00811498">
      <w:pPr>
        <w:pStyle w:val="Akapitzlist"/>
        <w:numPr>
          <w:ilvl w:val="0"/>
          <w:numId w:val="20"/>
        </w:numPr>
        <w:spacing w:before="240" w:after="240"/>
        <w:ind w:left="709" w:hanging="468"/>
        <w:rPr>
          <w:rFonts w:cs="Verdana"/>
          <w:bCs/>
        </w:rPr>
      </w:pPr>
      <w:r>
        <w:t xml:space="preserve">podejmowania działań mających na celu uczynienie Morza Bałtyckiego obszarem pionierskim w dziedzinie automatycznych systemów logistyki transportu. </w:t>
      </w:r>
    </w:p>
    <w:p w:rsidR="003747AF" w:rsidRDefault="003747AF" w:rsidP="003607B8">
      <w:pPr>
        <w:rPr>
          <w:rFonts w:cs="Verdana"/>
          <w:b/>
          <w:bCs/>
          <w:color w:val="000000" w:themeColor="text1"/>
          <w:szCs w:val="20"/>
        </w:rPr>
      </w:pPr>
    </w:p>
    <w:p w:rsidR="00646065" w:rsidRDefault="00646065" w:rsidP="003607B8">
      <w:pPr>
        <w:rPr>
          <w:rFonts w:cs="Verdana"/>
          <w:b/>
          <w:bCs/>
          <w:color w:val="000000" w:themeColor="text1"/>
          <w:szCs w:val="20"/>
        </w:rPr>
      </w:pPr>
    </w:p>
    <w:p w:rsidR="00C53A65" w:rsidRPr="00C60ECD" w:rsidRDefault="004B58DB" w:rsidP="003607B8">
      <w:pPr>
        <w:rPr>
          <w:rFonts w:cs="Verdana"/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lastRenderedPageBreak/>
        <w:t>Ponadto Konferencja postanawia</w:t>
      </w:r>
    </w:p>
    <w:p w:rsidR="003747AF" w:rsidRDefault="004B58DB" w:rsidP="003747AF">
      <w:pPr>
        <w:ind w:left="708"/>
        <w:rPr>
          <w:b/>
          <w:color w:val="000000" w:themeColor="text1"/>
        </w:rPr>
      </w:pPr>
      <w:r>
        <w:rPr>
          <w:color w:val="000000" w:themeColor="text1"/>
          <w:szCs w:val="20"/>
        </w:rPr>
        <w:t>z wdzięcznością przyjąć ofertę parlamentu Norwegii, który podjął się zorganizowania XXVII Konferencji Parlamentarnej Morza Bałtyckiego w Oslo w dniach 25–27 sierpnia 2019 r.</w:t>
      </w:r>
      <w:r>
        <w:rPr>
          <w:b/>
          <w:color w:val="000000" w:themeColor="text1"/>
        </w:rPr>
        <w:t xml:space="preserve"> </w:t>
      </w:r>
    </w:p>
    <w:p w:rsidR="003747AF" w:rsidRPr="003747AF" w:rsidRDefault="0055305C" w:rsidP="003747AF">
      <w:pPr>
        <w:ind w:left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Cs w:val="20"/>
        </w:rPr>
      </w:pPr>
      <w:r>
        <w:rPr>
          <w:color w:val="000000"/>
          <w:sz w:val="26"/>
          <w:szCs w:val="26"/>
        </w:rPr>
        <w:t>*</w:t>
      </w:r>
      <w:r>
        <w:rPr>
          <w:color w:val="000000"/>
          <w:szCs w:val="20"/>
        </w:rPr>
        <w:t>Parlamenty i organizacje parlamentarne: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Rada Bałtycka,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Wolnego Hanzeatyckiego Miasta Bremy,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Cs w:val="20"/>
        </w:rPr>
      </w:pPr>
      <w:r>
        <w:rPr>
          <w:color w:val="000000"/>
          <w:szCs w:val="20"/>
        </w:rPr>
        <w:t xml:space="preserve">Danii, 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Estonii,</w:t>
      </w:r>
      <w:r>
        <w:rPr>
          <w:rFonts w:ascii="MS Mincho" w:hAnsi="MS Mincho"/>
          <w:color w:val="000000"/>
          <w:szCs w:val="20"/>
        </w:rPr>
        <w:t> </w:t>
      </w:r>
    </w:p>
    <w:p w:rsid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Parlament Europejski,</w:t>
      </w:r>
      <w:r>
        <w:rPr>
          <w:rFonts w:ascii="MS Mincho" w:hAnsi="MS Mincho"/>
          <w:color w:val="000000"/>
          <w:szCs w:val="20"/>
        </w:rPr>
        <w:t> </w:t>
      </w:r>
    </w:p>
    <w:p w:rsidR="00AD2513" w:rsidRPr="00AD2513" w:rsidRDefault="00AD2513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MS Mincho" w:cs="MS Mincho"/>
          <w:color w:val="000000"/>
          <w:szCs w:val="20"/>
        </w:rPr>
      </w:pPr>
      <w:r>
        <w:rPr>
          <w:color w:val="000000"/>
          <w:szCs w:val="20"/>
        </w:rPr>
        <w:t>Wysp Owczych,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Republiki Federalnej Niemiec,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Finlandii,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Wolnego Hanzeatyckiego Miasta Hamburga,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Islandii,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Obwodu Kaliningradzkiego,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MS Mincho" w:cs="MS Mincho"/>
          <w:color w:val="000000"/>
          <w:szCs w:val="20"/>
        </w:rPr>
      </w:pPr>
      <w:r>
        <w:rPr>
          <w:color w:val="000000"/>
          <w:szCs w:val="20"/>
        </w:rPr>
        <w:t>Republiki Karelii,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Cs w:val="20"/>
        </w:rPr>
      </w:pPr>
      <w:r>
        <w:rPr>
          <w:color w:val="000000"/>
          <w:szCs w:val="20"/>
        </w:rPr>
        <w:t>Łotwy,</w:t>
      </w:r>
    </w:p>
    <w:p w:rsidR="00AD2513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Cs w:val="20"/>
        </w:rPr>
      </w:pPr>
      <w:r>
        <w:rPr>
          <w:color w:val="000000"/>
          <w:szCs w:val="20"/>
        </w:rPr>
        <w:t>Regionu Leningradu,</w:t>
      </w:r>
    </w:p>
    <w:p w:rsidR="005C7D0E" w:rsidRPr="005C7D0E" w:rsidRDefault="00AD2513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Litwy,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Meklemburgii-Pomorza Przedniego,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Rada Nordycka,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Cs w:val="20"/>
        </w:rPr>
      </w:pPr>
      <w:r>
        <w:rPr>
          <w:color w:val="000000"/>
          <w:szCs w:val="20"/>
        </w:rPr>
        <w:t>Norwegii,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Polski,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Cs w:val="20"/>
        </w:rPr>
      </w:pPr>
      <w:r>
        <w:rPr>
          <w:color w:val="000000"/>
          <w:szCs w:val="20"/>
        </w:rPr>
        <w:t xml:space="preserve">Rada Federacji Zgromadzenia Federalnego Federacji Rosyjskiej, </w:t>
      </w:r>
    </w:p>
    <w:p w:rsidR="00AD2513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Cs w:val="20"/>
        </w:rPr>
      </w:pPr>
      <w:r>
        <w:rPr>
          <w:color w:val="000000"/>
          <w:szCs w:val="20"/>
        </w:rPr>
        <w:t xml:space="preserve">Duma Państwowa Zgromadzenia Federalnego Federacji Rosyjskiej, </w:t>
      </w:r>
    </w:p>
    <w:p w:rsidR="005C7D0E" w:rsidRPr="005C7D0E" w:rsidRDefault="00AD2513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Cs w:val="20"/>
        </w:rPr>
      </w:pPr>
      <w:r>
        <w:rPr>
          <w:color w:val="000000"/>
          <w:szCs w:val="20"/>
        </w:rPr>
        <w:t>Miasta Petersburg,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proofErr w:type="spellStart"/>
      <w:r>
        <w:rPr>
          <w:color w:val="000000"/>
          <w:szCs w:val="20"/>
        </w:rPr>
        <w:t>Szlezwika</w:t>
      </w:r>
      <w:proofErr w:type="spellEnd"/>
      <w:r>
        <w:rPr>
          <w:color w:val="000000"/>
          <w:szCs w:val="20"/>
        </w:rPr>
        <w:t>-Holsztynu,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MS Mincho" w:eastAsia="MS Mincho" w:hAnsi="MS Mincho" w:cs="MS Mincho"/>
          <w:color w:val="000000"/>
          <w:szCs w:val="20"/>
        </w:rPr>
      </w:pPr>
      <w:r>
        <w:rPr>
          <w:color w:val="000000"/>
          <w:szCs w:val="20"/>
        </w:rPr>
        <w:t>Szwecji,</w:t>
      </w:r>
      <w:r>
        <w:rPr>
          <w:rFonts w:ascii="MS Mincho" w:hAnsi="MS Mincho"/>
          <w:color w:val="000000"/>
          <w:szCs w:val="20"/>
        </w:rPr>
        <w:t> </w:t>
      </w:r>
    </w:p>
    <w:p w:rsidR="005C7D0E" w:rsidRPr="005C7D0E" w:rsidRDefault="005C7D0E" w:rsidP="005C7D0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"/>
          <w:color w:val="000000"/>
          <w:szCs w:val="20"/>
        </w:rPr>
      </w:pPr>
      <w:r>
        <w:rPr>
          <w:color w:val="000000"/>
          <w:szCs w:val="20"/>
        </w:rPr>
        <w:t xml:space="preserve">Wysp Alandzkich. </w:t>
      </w:r>
    </w:p>
    <w:p w:rsidR="00EF22D7" w:rsidRPr="005C7D0E" w:rsidRDefault="00EF22D7" w:rsidP="00647664">
      <w:pPr>
        <w:rPr>
          <w:lang w:val="de-DE"/>
        </w:rPr>
      </w:pPr>
    </w:p>
    <w:sectPr w:rsidR="00EF22D7" w:rsidRPr="005C7D0E" w:rsidSect="005C7D0E">
      <w:footerReference w:type="even" r:id="rId10"/>
      <w:footerReference w:type="default" r:id="rId11"/>
      <w:pgSz w:w="11906" w:h="16838" w:code="9"/>
      <w:pgMar w:top="1134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6B" w:rsidRDefault="00DE3E6B" w:rsidP="008A314C">
      <w:pPr>
        <w:spacing w:after="0" w:line="240" w:lineRule="auto"/>
      </w:pPr>
      <w:r>
        <w:separator/>
      </w:r>
    </w:p>
  </w:endnote>
  <w:endnote w:type="continuationSeparator" w:id="0">
    <w:p w:rsidR="00DE3E6B" w:rsidRDefault="00DE3E6B" w:rsidP="008A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4C" w:rsidRDefault="008A314C" w:rsidP="0063248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14C" w:rsidRDefault="008A314C" w:rsidP="008A31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4C" w:rsidRDefault="008A314C" w:rsidP="0063248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7A6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314C" w:rsidRDefault="008A314C" w:rsidP="008A31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6B" w:rsidRDefault="00DE3E6B" w:rsidP="008A314C">
      <w:pPr>
        <w:spacing w:after="0" w:line="240" w:lineRule="auto"/>
      </w:pPr>
      <w:r>
        <w:separator/>
      </w:r>
    </w:p>
  </w:footnote>
  <w:footnote w:type="continuationSeparator" w:id="0">
    <w:p w:rsidR="00DE3E6B" w:rsidRDefault="00DE3E6B" w:rsidP="008A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49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270CC"/>
    <w:multiLevelType w:val="hybridMultilevel"/>
    <w:tmpl w:val="895E4484"/>
    <w:lvl w:ilvl="0" w:tplc="4FFCC62E"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090B"/>
    <w:multiLevelType w:val="hybridMultilevel"/>
    <w:tmpl w:val="83527CB0"/>
    <w:lvl w:ilvl="0" w:tplc="DBAE3612">
      <w:start w:val="1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738B"/>
    <w:multiLevelType w:val="hybridMultilevel"/>
    <w:tmpl w:val="AEDA5424"/>
    <w:lvl w:ilvl="0" w:tplc="2A80EB12">
      <w:numFmt w:val="bullet"/>
      <w:lvlText w:val="-"/>
      <w:lvlJc w:val="left"/>
      <w:pPr>
        <w:ind w:left="78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413A87"/>
    <w:multiLevelType w:val="multilevel"/>
    <w:tmpl w:val="F4CCC9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E19E1"/>
    <w:multiLevelType w:val="hybridMultilevel"/>
    <w:tmpl w:val="44606AEA"/>
    <w:lvl w:ilvl="0" w:tplc="ABDA716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2FB7"/>
    <w:multiLevelType w:val="hybridMultilevel"/>
    <w:tmpl w:val="2B629F48"/>
    <w:lvl w:ilvl="0" w:tplc="CAC4784A">
      <w:start w:val="2"/>
      <w:numFmt w:val="bullet"/>
      <w:lvlText w:val="-"/>
      <w:lvlJc w:val="left"/>
      <w:pPr>
        <w:ind w:left="643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B7CCD"/>
    <w:multiLevelType w:val="hybridMultilevel"/>
    <w:tmpl w:val="48820A8C"/>
    <w:lvl w:ilvl="0" w:tplc="ABDA716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956FC"/>
    <w:multiLevelType w:val="hybridMultilevel"/>
    <w:tmpl w:val="0ACEF7F0"/>
    <w:lvl w:ilvl="0" w:tplc="513CFD4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169F2"/>
    <w:multiLevelType w:val="hybridMultilevel"/>
    <w:tmpl w:val="08CE25D0"/>
    <w:lvl w:ilvl="0" w:tplc="AB4288E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34B3B"/>
    <w:multiLevelType w:val="hybridMultilevel"/>
    <w:tmpl w:val="E7C62E30"/>
    <w:lvl w:ilvl="0" w:tplc="5D702C82">
      <w:numFmt w:val="bullet"/>
      <w:lvlText w:val="-"/>
      <w:lvlJc w:val="left"/>
      <w:pPr>
        <w:ind w:left="54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A9E4184"/>
    <w:multiLevelType w:val="hybridMultilevel"/>
    <w:tmpl w:val="551EB446"/>
    <w:lvl w:ilvl="0" w:tplc="38E8AA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D4852"/>
    <w:multiLevelType w:val="hybridMultilevel"/>
    <w:tmpl w:val="517A1956"/>
    <w:lvl w:ilvl="0" w:tplc="3F9EFA4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F344B"/>
    <w:multiLevelType w:val="hybridMultilevel"/>
    <w:tmpl w:val="F926C8F2"/>
    <w:lvl w:ilvl="0" w:tplc="F382802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B6565"/>
    <w:multiLevelType w:val="hybridMultilevel"/>
    <w:tmpl w:val="06FC3490"/>
    <w:lvl w:ilvl="0" w:tplc="DE12E76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35170"/>
    <w:multiLevelType w:val="hybridMultilevel"/>
    <w:tmpl w:val="0ACEF7F0"/>
    <w:lvl w:ilvl="0" w:tplc="513CFD4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954D6"/>
    <w:multiLevelType w:val="hybridMultilevel"/>
    <w:tmpl w:val="9AB47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F3B87"/>
    <w:multiLevelType w:val="hybridMultilevel"/>
    <w:tmpl w:val="D4C65B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32414F"/>
    <w:multiLevelType w:val="hybridMultilevel"/>
    <w:tmpl w:val="AEEC2C40"/>
    <w:lvl w:ilvl="0" w:tplc="A768BB16">
      <w:start w:val="22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505D3"/>
    <w:multiLevelType w:val="hybridMultilevel"/>
    <w:tmpl w:val="340C0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91A54"/>
    <w:multiLevelType w:val="hybridMultilevel"/>
    <w:tmpl w:val="7B1082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C64D01"/>
    <w:multiLevelType w:val="hybridMultilevel"/>
    <w:tmpl w:val="A94C7066"/>
    <w:lvl w:ilvl="0" w:tplc="6A4A0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C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AE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0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C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42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2A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25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EF770C"/>
    <w:multiLevelType w:val="multilevel"/>
    <w:tmpl w:val="BC8E03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  <w:num w:numId="16">
    <w:abstractNumId w:val="22"/>
  </w:num>
  <w:num w:numId="17">
    <w:abstractNumId w:val="1"/>
  </w:num>
  <w:num w:numId="18">
    <w:abstractNumId w:val="21"/>
  </w:num>
  <w:num w:numId="19">
    <w:abstractNumId w:val="18"/>
  </w:num>
  <w:num w:numId="20">
    <w:abstractNumId w:val="15"/>
  </w:num>
  <w:num w:numId="21">
    <w:abstractNumId w:val="8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DB"/>
    <w:rsid w:val="00004999"/>
    <w:rsid w:val="00005041"/>
    <w:rsid w:val="00005C4C"/>
    <w:rsid w:val="000118FE"/>
    <w:rsid w:val="00012932"/>
    <w:rsid w:val="000139AE"/>
    <w:rsid w:val="00017DD9"/>
    <w:rsid w:val="00021932"/>
    <w:rsid w:val="00022FB2"/>
    <w:rsid w:val="00031133"/>
    <w:rsid w:val="000364F2"/>
    <w:rsid w:val="0003798C"/>
    <w:rsid w:val="00044713"/>
    <w:rsid w:val="00044C36"/>
    <w:rsid w:val="00045CFC"/>
    <w:rsid w:val="0004602F"/>
    <w:rsid w:val="000462AC"/>
    <w:rsid w:val="000560E0"/>
    <w:rsid w:val="00060BF9"/>
    <w:rsid w:val="00065518"/>
    <w:rsid w:val="000706B3"/>
    <w:rsid w:val="00075C17"/>
    <w:rsid w:val="00076106"/>
    <w:rsid w:val="00077893"/>
    <w:rsid w:val="000870AB"/>
    <w:rsid w:val="000908B8"/>
    <w:rsid w:val="000956B2"/>
    <w:rsid w:val="00096D5B"/>
    <w:rsid w:val="00097DC8"/>
    <w:rsid w:val="000A0740"/>
    <w:rsid w:val="000A2E7D"/>
    <w:rsid w:val="000A7EBC"/>
    <w:rsid w:val="000A7F57"/>
    <w:rsid w:val="000B0E31"/>
    <w:rsid w:val="000B1255"/>
    <w:rsid w:val="000B13F0"/>
    <w:rsid w:val="000B17FB"/>
    <w:rsid w:val="000B245F"/>
    <w:rsid w:val="000B6E91"/>
    <w:rsid w:val="000D1875"/>
    <w:rsid w:val="000D278F"/>
    <w:rsid w:val="000D5384"/>
    <w:rsid w:val="000E27B7"/>
    <w:rsid w:val="000E47B1"/>
    <w:rsid w:val="000F7108"/>
    <w:rsid w:val="0010398E"/>
    <w:rsid w:val="00112607"/>
    <w:rsid w:val="00114B7D"/>
    <w:rsid w:val="00121662"/>
    <w:rsid w:val="001260CB"/>
    <w:rsid w:val="001270FE"/>
    <w:rsid w:val="001304C2"/>
    <w:rsid w:val="00132EDC"/>
    <w:rsid w:val="001406F3"/>
    <w:rsid w:val="00144280"/>
    <w:rsid w:val="00146792"/>
    <w:rsid w:val="0015129C"/>
    <w:rsid w:val="0015221C"/>
    <w:rsid w:val="00161291"/>
    <w:rsid w:val="00165875"/>
    <w:rsid w:val="00165E98"/>
    <w:rsid w:val="001663EA"/>
    <w:rsid w:val="00166B30"/>
    <w:rsid w:val="001923E1"/>
    <w:rsid w:val="001A39AE"/>
    <w:rsid w:val="001B0931"/>
    <w:rsid w:val="001B1A7E"/>
    <w:rsid w:val="001B1E9E"/>
    <w:rsid w:val="001B5FEB"/>
    <w:rsid w:val="001B69B1"/>
    <w:rsid w:val="001C0E95"/>
    <w:rsid w:val="001C4850"/>
    <w:rsid w:val="001C61DC"/>
    <w:rsid w:val="001C6357"/>
    <w:rsid w:val="001D3FF5"/>
    <w:rsid w:val="001E2230"/>
    <w:rsid w:val="001E7AA8"/>
    <w:rsid w:val="001F6532"/>
    <w:rsid w:val="001F7A2A"/>
    <w:rsid w:val="002012AA"/>
    <w:rsid w:val="00202B82"/>
    <w:rsid w:val="00203661"/>
    <w:rsid w:val="002126EF"/>
    <w:rsid w:val="002222BF"/>
    <w:rsid w:val="00227BE7"/>
    <w:rsid w:val="00233F89"/>
    <w:rsid w:val="00240A4F"/>
    <w:rsid w:val="00245380"/>
    <w:rsid w:val="0025335C"/>
    <w:rsid w:val="00257742"/>
    <w:rsid w:val="00281752"/>
    <w:rsid w:val="0029053F"/>
    <w:rsid w:val="00293519"/>
    <w:rsid w:val="00297495"/>
    <w:rsid w:val="002B0B2C"/>
    <w:rsid w:val="002B2A34"/>
    <w:rsid w:val="002B68C0"/>
    <w:rsid w:val="002B70BF"/>
    <w:rsid w:val="002C0604"/>
    <w:rsid w:val="002C475A"/>
    <w:rsid w:val="002C5EEC"/>
    <w:rsid w:val="002D3C61"/>
    <w:rsid w:val="002D6F67"/>
    <w:rsid w:val="002E00E8"/>
    <w:rsid w:val="002E1FF3"/>
    <w:rsid w:val="002E3FB8"/>
    <w:rsid w:val="002E5E35"/>
    <w:rsid w:val="002F5195"/>
    <w:rsid w:val="002F5E90"/>
    <w:rsid w:val="0030111D"/>
    <w:rsid w:val="00304259"/>
    <w:rsid w:val="00304A2A"/>
    <w:rsid w:val="00307311"/>
    <w:rsid w:val="00310D90"/>
    <w:rsid w:val="0031262D"/>
    <w:rsid w:val="00312C12"/>
    <w:rsid w:val="0032050E"/>
    <w:rsid w:val="003278DB"/>
    <w:rsid w:val="00330EA7"/>
    <w:rsid w:val="0033114F"/>
    <w:rsid w:val="003346C5"/>
    <w:rsid w:val="00335855"/>
    <w:rsid w:val="00336430"/>
    <w:rsid w:val="003372D2"/>
    <w:rsid w:val="00340D1F"/>
    <w:rsid w:val="003549BC"/>
    <w:rsid w:val="00355A3C"/>
    <w:rsid w:val="00357F29"/>
    <w:rsid w:val="003607B8"/>
    <w:rsid w:val="00361A7A"/>
    <w:rsid w:val="00372968"/>
    <w:rsid w:val="003747AF"/>
    <w:rsid w:val="00375CB6"/>
    <w:rsid w:val="0037676C"/>
    <w:rsid w:val="00377329"/>
    <w:rsid w:val="00380782"/>
    <w:rsid w:val="003830DF"/>
    <w:rsid w:val="00383217"/>
    <w:rsid w:val="003A4606"/>
    <w:rsid w:val="003A6B0A"/>
    <w:rsid w:val="003B1584"/>
    <w:rsid w:val="003B485F"/>
    <w:rsid w:val="003C2469"/>
    <w:rsid w:val="003D262A"/>
    <w:rsid w:val="003E240F"/>
    <w:rsid w:val="003E50B6"/>
    <w:rsid w:val="003E732F"/>
    <w:rsid w:val="003F0B47"/>
    <w:rsid w:val="003F77B9"/>
    <w:rsid w:val="003F7D87"/>
    <w:rsid w:val="00401A35"/>
    <w:rsid w:val="004037FE"/>
    <w:rsid w:val="00405C4C"/>
    <w:rsid w:val="004209A4"/>
    <w:rsid w:val="0042189E"/>
    <w:rsid w:val="00422A99"/>
    <w:rsid w:val="00425C27"/>
    <w:rsid w:val="004279AD"/>
    <w:rsid w:val="0043171C"/>
    <w:rsid w:val="004336B8"/>
    <w:rsid w:val="00437FAF"/>
    <w:rsid w:val="00441167"/>
    <w:rsid w:val="00442C13"/>
    <w:rsid w:val="004454D4"/>
    <w:rsid w:val="004458E9"/>
    <w:rsid w:val="00451603"/>
    <w:rsid w:val="00453318"/>
    <w:rsid w:val="00455380"/>
    <w:rsid w:val="004556C2"/>
    <w:rsid w:val="00456459"/>
    <w:rsid w:val="00456EE1"/>
    <w:rsid w:val="004623AC"/>
    <w:rsid w:val="00464AD1"/>
    <w:rsid w:val="0046742C"/>
    <w:rsid w:val="00476329"/>
    <w:rsid w:val="00477940"/>
    <w:rsid w:val="00484BEE"/>
    <w:rsid w:val="00497CED"/>
    <w:rsid w:val="004A16D4"/>
    <w:rsid w:val="004A3310"/>
    <w:rsid w:val="004A574E"/>
    <w:rsid w:val="004B1273"/>
    <w:rsid w:val="004B394A"/>
    <w:rsid w:val="004B56B9"/>
    <w:rsid w:val="004B58DB"/>
    <w:rsid w:val="004B74BB"/>
    <w:rsid w:val="004C67D2"/>
    <w:rsid w:val="004D258D"/>
    <w:rsid w:val="004D2B32"/>
    <w:rsid w:val="004E009C"/>
    <w:rsid w:val="004E34A6"/>
    <w:rsid w:val="004E6798"/>
    <w:rsid w:val="00501E9B"/>
    <w:rsid w:val="00507AE7"/>
    <w:rsid w:val="00510559"/>
    <w:rsid w:val="00512CC4"/>
    <w:rsid w:val="005161AD"/>
    <w:rsid w:val="0052111C"/>
    <w:rsid w:val="00521CF3"/>
    <w:rsid w:val="00525CCD"/>
    <w:rsid w:val="00527FB4"/>
    <w:rsid w:val="00532F10"/>
    <w:rsid w:val="005337D4"/>
    <w:rsid w:val="0054086E"/>
    <w:rsid w:val="005436EE"/>
    <w:rsid w:val="00546016"/>
    <w:rsid w:val="00546F62"/>
    <w:rsid w:val="0055305C"/>
    <w:rsid w:val="00562913"/>
    <w:rsid w:val="00563C37"/>
    <w:rsid w:val="00566C41"/>
    <w:rsid w:val="00566EAD"/>
    <w:rsid w:val="00571AAD"/>
    <w:rsid w:val="00571FD1"/>
    <w:rsid w:val="00575613"/>
    <w:rsid w:val="005819EE"/>
    <w:rsid w:val="005821EE"/>
    <w:rsid w:val="00582A2A"/>
    <w:rsid w:val="00584489"/>
    <w:rsid w:val="00584FF0"/>
    <w:rsid w:val="00597BCE"/>
    <w:rsid w:val="005A0633"/>
    <w:rsid w:val="005A34EE"/>
    <w:rsid w:val="005A7E00"/>
    <w:rsid w:val="005B32D3"/>
    <w:rsid w:val="005B3808"/>
    <w:rsid w:val="005B7014"/>
    <w:rsid w:val="005C3418"/>
    <w:rsid w:val="005C7D0E"/>
    <w:rsid w:val="005D03E4"/>
    <w:rsid w:val="005D398D"/>
    <w:rsid w:val="005D6D70"/>
    <w:rsid w:val="005D70E8"/>
    <w:rsid w:val="005E0BCF"/>
    <w:rsid w:val="005E18A9"/>
    <w:rsid w:val="005E3253"/>
    <w:rsid w:val="005E747F"/>
    <w:rsid w:val="00600245"/>
    <w:rsid w:val="00604331"/>
    <w:rsid w:val="00605D16"/>
    <w:rsid w:val="006114B6"/>
    <w:rsid w:val="00623B5F"/>
    <w:rsid w:val="00624BC5"/>
    <w:rsid w:val="00625134"/>
    <w:rsid w:val="00632480"/>
    <w:rsid w:val="00633308"/>
    <w:rsid w:val="0063527C"/>
    <w:rsid w:val="0064036F"/>
    <w:rsid w:val="00644393"/>
    <w:rsid w:val="00645880"/>
    <w:rsid w:val="00646065"/>
    <w:rsid w:val="00647664"/>
    <w:rsid w:val="00647A4B"/>
    <w:rsid w:val="00651DDC"/>
    <w:rsid w:val="006612F0"/>
    <w:rsid w:val="00665214"/>
    <w:rsid w:val="00671598"/>
    <w:rsid w:val="00685165"/>
    <w:rsid w:val="00687A65"/>
    <w:rsid w:val="00687CEE"/>
    <w:rsid w:val="00692838"/>
    <w:rsid w:val="006931BD"/>
    <w:rsid w:val="00694062"/>
    <w:rsid w:val="006950B1"/>
    <w:rsid w:val="006B1FC7"/>
    <w:rsid w:val="006C08ED"/>
    <w:rsid w:val="006C0B7F"/>
    <w:rsid w:val="006C0ED6"/>
    <w:rsid w:val="006C325D"/>
    <w:rsid w:val="006C4C05"/>
    <w:rsid w:val="006C5E7A"/>
    <w:rsid w:val="006C71A9"/>
    <w:rsid w:val="006C7243"/>
    <w:rsid w:val="006C7B0B"/>
    <w:rsid w:val="006D381D"/>
    <w:rsid w:val="006D6165"/>
    <w:rsid w:val="006E0A19"/>
    <w:rsid w:val="006E0DEF"/>
    <w:rsid w:val="006E3B34"/>
    <w:rsid w:val="006E7AAD"/>
    <w:rsid w:val="006F05E7"/>
    <w:rsid w:val="006F73F6"/>
    <w:rsid w:val="0070191C"/>
    <w:rsid w:val="007035BD"/>
    <w:rsid w:val="0070386F"/>
    <w:rsid w:val="00711CB1"/>
    <w:rsid w:val="007308C4"/>
    <w:rsid w:val="007316E8"/>
    <w:rsid w:val="0073483E"/>
    <w:rsid w:val="00741806"/>
    <w:rsid w:val="00743CC1"/>
    <w:rsid w:val="00752043"/>
    <w:rsid w:val="0075637C"/>
    <w:rsid w:val="0076165D"/>
    <w:rsid w:val="00773AC6"/>
    <w:rsid w:val="00780EB6"/>
    <w:rsid w:val="00781F66"/>
    <w:rsid w:val="007833E2"/>
    <w:rsid w:val="00784C03"/>
    <w:rsid w:val="0079155F"/>
    <w:rsid w:val="007936C3"/>
    <w:rsid w:val="00796301"/>
    <w:rsid w:val="007A3995"/>
    <w:rsid w:val="007A638D"/>
    <w:rsid w:val="007C20EF"/>
    <w:rsid w:val="007C39F4"/>
    <w:rsid w:val="007C460E"/>
    <w:rsid w:val="007C46E0"/>
    <w:rsid w:val="007D5A71"/>
    <w:rsid w:val="007E4533"/>
    <w:rsid w:val="007E5C15"/>
    <w:rsid w:val="007E723A"/>
    <w:rsid w:val="007F44B7"/>
    <w:rsid w:val="007F485D"/>
    <w:rsid w:val="007F4FDB"/>
    <w:rsid w:val="007F7A7A"/>
    <w:rsid w:val="00800C45"/>
    <w:rsid w:val="008021A8"/>
    <w:rsid w:val="0080639F"/>
    <w:rsid w:val="00811498"/>
    <w:rsid w:val="00814564"/>
    <w:rsid w:val="00822CF2"/>
    <w:rsid w:val="00823AFD"/>
    <w:rsid w:val="008243C6"/>
    <w:rsid w:val="00827C6C"/>
    <w:rsid w:val="008312A4"/>
    <w:rsid w:val="00837BFA"/>
    <w:rsid w:val="008452F1"/>
    <w:rsid w:val="00850437"/>
    <w:rsid w:val="008518E4"/>
    <w:rsid w:val="00852C50"/>
    <w:rsid w:val="0085470E"/>
    <w:rsid w:val="00867C1E"/>
    <w:rsid w:val="00867E86"/>
    <w:rsid w:val="00871BEB"/>
    <w:rsid w:val="00872017"/>
    <w:rsid w:val="00873239"/>
    <w:rsid w:val="00873B36"/>
    <w:rsid w:val="008770ED"/>
    <w:rsid w:val="008840E7"/>
    <w:rsid w:val="00890943"/>
    <w:rsid w:val="008A254B"/>
    <w:rsid w:val="008A314C"/>
    <w:rsid w:val="008B188F"/>
    <w:rsid w:val="008B41A6"/>
    <w:rsid w:val="008B4615"/>
    <w:rsid w:val="008C0FB4"/>
    <w:rsid w:val="008C7E67"/>
    <w:rsid w:val="008D3680"/>
    <w:rsid w:val="008D37C4"/>
    <w:rsid w:val="008D6B2A"/>
    <w:rsid w:val="008E0622"/>
    <w:rsid w:val="008F1C4F"/>
    <w:rsid w:val="008F1D29"/>
    <w:rsid w:val="008F3F80"/>
    <w:rsid w:val="008F4058"/>
    <w:rsid w:val="009141A4"/>
    <w:rsid w:val="00916442"/>
    <w:rsid w:val="009209D0"/>
    <w:rsid w:val="00923A49"/>
    <w:rsid w:val="00923DBF"/>
    <w:rsid w:val="009270AC"/>
    <w:rsid w:val="00935454"/>
    <w:rsid w:val="00942D66"/>
    <w:rsid w:val="00947A7C"/>
    <w:rsid w:val="009525BE"/>
    <w:rsid w:val="009665E7"/>
    <w:rsid w:val="00970A90"/>
    <w:rsid w:val="009742E9"/>
    <w:rsid w:val="0097495B"/>
    <w:rsid w:val="00976C55"/>
    <w:rsid w:val="00983F04"/>
    <w:rsid w:val="00992E16"/>
    <w:rsid w:val="009A7F47"/>
    <w:rsid w:val="009B4F7B"/>
    <w:rsid w:val="009D6FBE"/>
    <w:rsid w:val="009E237F"/>
    <w:rsid w:val="009E76F2"/>
    <w:rsid w:val="009E7B9B"/>
    <w:rsid w:val="009F4354"/>
    <w:rsid w:val="009F7C7D"/>
    <w:rsid w:val="00A0078D"/>
    <w:rsid w:val="00A02619"/>
    <w:rsid w:val="00A037CE"/>
    <w:rsid w:val="00A044F1"/>
    <w:rsid w:val="00A04C23"/>
    <w:rsid w:val="00A12358"/>
    <w:rsid w:val="00A204AF"/>
    <w:rsid w:val="00A20EB0"/>
    <w:rsid w:val="00A2483F"/>
    <w:rsid w:val="00A24B16"/>
    <w:rsid w:val="00A255F6"/>
    <w:rsid w:val="00A30C37"/>
    <w:rsid w:val="00A340E7"/>
    <w:rsid w:val="00A360D5"/>
    <w:rsid w:val="00A3610A"/>
    <w:rsid w:val="00A37E3C"/>
    <w:rsid w:val="00A44869"/>
    <w:rsid w:val="00A45801"/>
    <w:rsid w:val="00A51B54"/>
    <w:rsid w:val="00A52153"/>
    <w:rsid w:val="00A52B79"/>
    <w:rsid w:val="00A53206"/>
    <w:rsid w:val="00A55697"/>
    <w:rsid w:val="00A56EAE"/>
    <w:rsid w:val="00A61D78"/>
    <w:rsid w:val="00A702E8"/>
    <w:rsid w:val="00A83EFF"/>
    <w:rsid w:val="00A86BC7"/>
    <w:rsid w:val="00A90430"/>
    <w:rsid w:val="00A97D38"/>
    <w:rsid w:val="00AA5175"/>
    <w:rsid w:val="00AB2C2C"/>
    <w:rsid w:val="00AB4457"/>
    <w:rsid w:val="00AB766D"/>
    <w:rsid w:val="00AC6B89"/>
    <w:rsid w:val="00AC7B42"/>
    <w:rsid w:val="00AD2513"/>
    <w:rsid w:val="00AE3FF8"/>
    <w:rsid w:val="00B06492"/>
    <w:rsid w:val="00B23E4B"/>
    <w:rsid w:val="00B36AD8"/>
    <w:rsid w:val="00B45889"/>
    <w:rsid w:val="00B46F44"/>
    <w:rsid w:val="00B51AA9"/>
    <w:rsid w:val="00B574F1"/>
    <w:rsid w:val="00B6481C"/>
    <w:rsid w:val="00B73D97"/>
    <w:rsid w:val="00B74AF2"/>
    <w:rsid w:val="00B75E1C"/>
    <w:rsid w:val="00B93AB4"/>
    <w:rsid w:val="00BA1689"/>
    <w:rsid w:val="00BA4739"/>
    <w:rsid w:val="00BA5D80"/>
    <w:rsid w:val="00BA6264"/>
    <w:rsid w:val="00BA6553"/>
    <w:rsid w:val="00BB0A7D"/>
    <w:rsid w:val="00BB2DA3"/>
    <w:rsid w:val="00BB587A"/>
    <w:rsid w:val="00BC63CA"/>
    <w:rsid w:val="00BC6E20"/>
    <w:rsid w:val="00BD1637"/>
    <w:rsid w:val="00BD239A"/>
    <w:rsid w:val="00BD5241"/>
    <w:rsid w:val="00BE01C3"/>
    <w:rsid w:val="00BF7451"/>
    <w:rsid w:val="00C04817"/>
    <w:rsid w:val="00C06570"/>
    <w:rsid w:val="00C140F6"/>
    <w:rsid w:val="00C172CF"/>
    <w:rsid w:val="00C17B97"/>
    <w:rsid w:val="00C220DE"/>
    <w:rsid w:val="00C220EC"/>
    <w:rsid w:val="00C25544"/>
    <w:rsid w:val="00C3147E"/>
    <w:rsid w:val="00C32673"/>
    <w:rsid w:val="00C46E3C"/>
    <w:rsid w:val="00C52DF8"/>
    <w:rsid w:val="00C53A65"/>
    <w:rsid w:val="00C54522"/>
    <w:rsid w:val="00C55231"/>
    <w:rsid w:val="00C60A43"/>
    <w:rsid w:val="00C60ECD"/>
    <w:rsid w:val="00C62DD5"/>
    <w:rsid w:val="00C636C7"/>
    <w:rsid w:val="00C64EED"/>
    <w:rsid w:val="00C7654E"/>
    <w:rsid w:val="00C835AE"/>
    <w:rsid w:val="00C90271"/>
    <w:rsid w:val="00C90EBB"/>
    <w:rsid w:val="00C95C8C"/>
    <w:rsid w:val="00CA3B69"/>
    <w:rsid w:val="00CA7DD6"/>
    <w:rsid w:val="00CC4366"/>
    <w:rsid w:val="00CC4624"/>
    <w:rsid w:val="00CC574A"/>
    <w:rsid w:val="00CD3987"/>
    <w:rsid w:val="00CE2319"/>
    <w:rsid w:val="00CE394E"/>
    <w:rsid w:val="00CE5B65"/>
    <w:rsid w:val="00CF2FD9"/>
    <w:rsid w:val="00D00676"/>
    <w:rsid w:val="00D01021"/>
    <w:rsid w:val="00D10609"/>
    <w:rsid w:val="00D11AE6"/>
    <w:rsid w:val="00D16A09"/>
    <w:rsid w:val="00D33E95"/>
    <w:rsid w:val="00D3485B"/>
    <w:rsid w:val="00D37F08"/>
    <w:rsid w:val="00D4186E"/>
    <w:rsid w:val="00D43E51"/>
    <w:rsid w:val="00D44A51"/>
    <w:rsid w:val="00D45A82"/>
    <w:rsid w:val="00D46CC7"/>
    <w:rsid w:val="00D47A1B"/>
    <w:rsid w:val="00D51928"/>
    <w:rsid w:val="00D52930"/>
    <w:rsid w:val="00D55FC7"/>
    <w:rsid w:val="00D61060"/>
    <w:rsid w:val="00D62AF8"/>
    <w:rsid w:val="00D6342E"/>
    <w:rsid w:val="00D6452D"/>
    <w:rsid w:val="00D65254"/>
    <w:rsid w:val="00D71194"/>
    <w:rsid w:val="00D71A1E"/>
    <w:rsid w:val="00D83870"/>
    <w:rsid w:val="00D85C6C"/>
    <w:rsid w:val="00D87742"/>
    <w:rsid w:val="00D90EC7"/>
    <w:rsid w:val="00DA22CA"/>
    <w:rsid w:val="00DA6E35"/>
    <w:rsid w:val="00DB25B8"/>
    <w:rsid w:val="00DB6FA5"/>
    <w:rsid w:val="00DC56AE"/>
    <w:rsid w:val="00DD5D1A"/>
    <w:rsid w:val="00DE3E6B"/>
    <w:rsid w:val="00DE7A9F"/>
    <w:rsid w:val="00DF0C54"/>
    <w:rsid w:val="00DF15F5"/>
    <w:rsid w:val="00DF3808"/>
    <w:rsid w:val="00DF3B22"/>
    <w:rsid w:val="00DF6B83"/>
    <w:rsid w:val="00E000E6"/>
    <w:rsid w:val="00E001EC"/>
    <w:rsid w:val="00E070D8"/>
    <w:rsid w:val="00E077D5"/>
    <w:rsid w:val="00E20164"/>
    <w:rsid w:val="00E23EB3"/>
    <w:rsid w:val="00E24BDE"/>
    <w:rsid w:val="00E32ACB"/>
    <w:rsid w:val="00E35BE9"/>
    <w:rsid w:val="00E4050E"/>
    <w:rsid w:val="00E4146A"/>
    <w:rsid w:val="00E46726"/>
    <w:rsid w:val="00E52AA6"/>
    <w:rsid w:val="00E62AF1"/>
    <w:rsid w:val="00E63ADD"/>
    <w:rsid w:val="00E63FAE"/>
    <w:rsid w:val="00E6544A"/>
    <w:rsid w:val="00E7541A"/>
    <w:rsid w:val="00E76873"/>
    <w:rsid w:val="00E8022F"/>
    <w:rsid w:val="00E8156E"/>
    <w:rsid w:val="00E82641"/>
    <w:rsid w:val="00E87E5B"/>
    <w:rsid w:val="00E9195A"/>
    <w:rsid w:val="00E95C73"/>
    <w:rsid w:val="00EA51A9"/>
    <w:rsid w:val="00EA7DCA"/>
    <w:rsid w:val="00EB34E1"/>
    <w:rsid w:val="00EB466B"/>
    <w:rsid w:val="00EC2FC9"/>
    <w:rsid w:val="00EC355D"/>
    <w:rsid w:val="00ED003E"/>
    <w:rsid w:val="00ED0785"/>
    <w:rsid w:val="00ED515A"/>
    <w:rsid w:val="00ED5B00"/>
    <w:rsid w:val="00EF0432"/>
    <w:rsid w:val="00EF0F82"/>
    <w:rsid w:val="00EF22D7"/>
    <w:rsid w:val="00EF481B"/>
    <w:rsid w:val="00EF4BBB"/>
    <w:rsid w:val="00F00F37"/>
    <w:rsid w:val="00F10D34"/>
    <w:rsid w:val="00F137E1"/>
    <w:rsid w:val="00F1540F"/>
    <w:rsid w:val="00F21D60"/>
    <w:rsid w:val="00F27CC4"/>
    <w:rsid w:val="00F325AC"/>
    <w:rsid w:val="00F36943"/>
    <w:rsid w:val="00F56CB4"/>
    <w:rsid w:val="00F65B91"/>
    <w:rsid w:val="00F66E7E"/>
    <w:rsid w:val="00F739DF"/>
    <w:rsid w:val="00F80802"/>
    <w:rsid w:val="00F90BF5"/>
    <w:rsid w:val="00FA7F72"/>
    <w:rsid w:val="00FB4C11"/>
    <w:rsid w:val="00FB6300"/>
    <w:rsid w:val="00FC089E"/>
    <w:rsid w:val="00FC428B"/>
    <w:rsid w:val="00FC5782"/>
    <w:rsid w:val="00FC68F0"/>
    <w:rsid w:val="00FD33F6"/>
    <w:rsid w:val="00FD36D5"/>
    <w:rsid w:val="00FE027D"/>
    <w:rsid w:val="00FE3190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o"/>
    <w:qFormat/>
    <w:rsid w:val="005E3253"/>
    <w:pPr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3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3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3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3B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3B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3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3B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3B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062"/>
    <w:rPr>
      <w:rFonts w:ascii="Tahoma" w:eastAsia="Times New Roman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623B5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04A2A"/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4A2A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DF15F5"/>
    <w:pPr>
      <w:spacing w:before="100" w:beforeAutospacing="1" w:after="100" w:afterAutospacing="1"/>
    </w:pPr>
    <w:rPr>
      <w:rFonts w:eastAsiaTheme="minorHAnsi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8A3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14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A314C"/>
  </w:style>
  <w:style w:type="character" w:customStyle="1" w:styleId="Nagwek1Znak">
    <w:name w:val="Nagłówek 1 Znak"/>
    <w:basedOn w:val="Domylnaczcionkaakapitu"/>
    <w:link w:val="Nagwek1"/>
    <w:uiPriority w:val="9"/>
    <w:rsid w:val="0062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3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3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23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23B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3B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3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3B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3B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3B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23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3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3B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23B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3B5F"/>
    <w:rPr>
      <w:b/>
      <w:bCs/>
    </w:rPr>
  </w:style>
  <w:style w:type="character" w:styleId="Uwydatnienie">
    <w:name w:val="Emphasis"/>
    <w:basedOn w:val="Domylnaczcionkaakapitu"/>
    <w:uiPriority w:val="20"/>
    <w:qFormat/>
    <w:rsid w:val="00623B5F"/>
    <w:rPr>
      <w:i/>
      <w:iCs/>
    </w:rPr>
  </w:style>
  <w:style w:type="paragraph" w:styleId="Bezodstpw">
    <w:name w:val="No Spacing"/>
    <w:uiPriority w:val="1"/>
    <w:qFormat/>
    <w:rsid w:val="00623B5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3B5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23B5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3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3B5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23B5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23B5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23B5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23B5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23B5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3B5F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30D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0D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0DF"/>
    <w:rPr>
      <w:rFonts w:ascii="Verdana" w:hAnsi="Verdana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0D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0DF"/>
    <w:rPr>
      <w:rFonts w:ascii="Verdana" w:hAnsi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F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D2B32"/>
  </w:style>
  <w:style w:type="character" w:customStyle="1" w:styleId="apple-converted-space">
    <w:name w:val="apple-converted-space"/>
    <w:basedOn w:val="Domylnaczcionkaakapitu"/>
    <w:rsid w:val="00546016"/>
  </w:style>
  <w:style w:type="paragraph" w:styleId="Nagwek">
    <w:name w:val="header"/>
    <w:basedOn w:val="Normalny"/>
    <w:link w:val="NagwekZnak"/>
    <w:uiPriority w:val="99"/>
    <w:unhideWhenUsed/>
    <w:rsid w:val="00B5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AA9"/>
    <w:rPr>
      <w:rFonts w:ascii="Verdana" w:hAnsi="Verdana"/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o"/>
    <w:qFormat/>
    <w:rsid w:val="005E3253"/>
    <w:pPr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3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3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3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3B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3B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3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3B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3B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062"/>
    <w:rPr>
      <w:rFonts w:ascii="Tahoma" w:eastAsia="Times New Roman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623B5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04A2A"/>
    <w:rPr>
      <w:rFonts w:ascii="Calibri" w:eastAsiaTheme="minorHAns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4A2A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DF15F5"/>
    <w:pPr>
      <w:spacing w:before="100" w:beforeAutospacing="1" w:after="100" w:afterAutospacing="1"/>
    </w:pPr>
    <w:rPr>
      <w:rFonts w:eastAsiaTheme="minorHAnsi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8A3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14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A314C"/>
  </w:style>
  <w:style w:type="character" w:customStyle="1" w:styleId="Nagwek1Znak">
    <w:name w:val="Nagłówek 1 Znak"/>
    <w:basedOn w:val="Domylnaczcionkaakapitu"/>
    <w:link w:val="Nagwek1"/>
    <w:uiPriority w:val="9"/>
    <w:rsid w:val="0062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3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3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23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23B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3B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3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3B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3B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3B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23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3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3B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23B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3B5F"/>
    <w:rPr>
      <w:b/>
      <w:bCs/>
    </w:rPr>
  </w:style>
  <w:style w:type="character" w:styleId="Uwydatnienie">
    <w:name w:val="Emphasis"/>
    <w:basedOn w:val="Domylnaczcionkaakapitu"/>
    <w:uiPriority w:val="20"/>
    <w:qFormat/>
    <w:rsid w:val="00623B5F"/>
    <w:rPr>
      <w:i/>
      <w:iCs/>
    </w:rPr>
  </w:style>
  <w:style w:type="paragraph" w:styleId="Bezodstpw">
    <w:name w:val="No Spacing"/>
    <w:uiPriority w:val="1"/>
    <w:qFormat/>
    <w:rsid w:val="00623B5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3B5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23B5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3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3B5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23B5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23B5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23B5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23B5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23B5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3B5F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30D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0D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0DF"/>
    <w:rPr>
      <w:rFonts w:ascii="Verdana" w:hAnsi="Verdana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0D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0DF"/>
    <w:rPr>
      <w:rFonts w:ascii="Verdana" w:hAnsi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F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D2B32"/>
  </w:style>
  <w:style w:type="character" w:customStyle="1" w:styleId="apple-converted-space">
    <w:name w:val="apple-converted-space"/>
    <w:basedOn w:val="Domylnaczcionkaakapitu"/>
    <w:rsid w:val="00546016"/>
  </w:style>
  <w:style w:type="paragraph" w:styleId="Nagwek">
    <w:name w:val="header"/>
    <w:basedOn w:val="Normalny"/>
    <w:link w:val="NagwekZnak"/>
    <w:uiPriority w:val="99"/>
    <w:unhideWhenUsed/>
    <w:rsid w:val="00B5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AA9"/>
    <w:rPr>
      <w:rFonts w:ascii="Verdana" w:hAnsi="Verdana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775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053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148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341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84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FE20-B4D1-4EB4-A0A1-B69F5340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A6A61B54</Template>
  <TotalTime>2</TotalTime>
  <Pages>1</Pages>
  <Words>1870</Words>
  <Characters>11224</Characters>
  <Application>Microsoft Office Word</Application>
  <DocSecurity>0</DocSecurity>
  <Lines>93</Lines>
  <Paragraphs>26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Verwaltungwww.landtag-mv.de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Landtag Mecklenburg-Vorpommern</dc:creator>
  <cp:lastModifiedBy>ks</cp:lastModifiedBy>
  <cp:revision>4</cp:revision>
  <cp:lastPrinted>2018-07-10T20:33:00Z</cp:lastPrinted>
  <dcterms:created xsi:type="dcterms:W3CDTF">2019-01-11T09:49:00Z</dcterms:created>
  <dcterms:modified xsi:type="dcterms:W3CDTF">2019-03-22T13:06:00Z</dcterms:modified>
</cp:coreProperties>
</file>